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Regular" w:hAnsi="Times New Roman Regular" w:eastAsia="方正小标宋简体" w:cs="Times New Roman Regular"/>
          <w:sz w:val="36"/>
          <w:szCs w:val="36"/>
          <w:lang w:val="en-US" w:eastAsia="zh-CN"/>
        </w:rPr>
      </w:pPr>
    </w:p>
    <w:p>
      <w:pPr>
        <w:spacing w:line="560" w:lineRule="exact"/>
        <w:jc w:val="center"/>
        <w:rPr>
          <w:rFonts w:hint="default" w:ascii="Times New Roman Regular" w:hAnsi="Times New Roman Regular" w:eastAsia="方正小标宋简体" w:cs="Times New Roman Regular"/>
          <w:sz w:val="36"/>
          <w:szCs w:val="36"/>
          <w:lang w:val="en-US" w:eastAsia="zh-CN"/>
        </w:rPr>
      </w:pPr>
    </w:p>
    <w:p>
      <w:pPr>
        <w:spacing w:line="560" w:lineRule="exact"/>
        <w:jc w:val="center"/>
        <w:rPr>
          <w:rFonts w:hint="default" w:ascii="Times New Roman Regular" w:hAnsi="Times New Roman Regular" w:eastAsia="方正小标宋简体" w:cs="Times New Roman Regular"/>
          <w:sz w:val="44"/>
          <w:szCs w:val="44"/>
          <w:lang w:val="en-US" w:eastAsia="zh-CN"/>
        </w:rPr>
      </w:pPr>
    </w:p>
    <w:p>
      <w:pPr>
        <w:spacing w:line="560" w:lineRule="exact"/>
        <w:jc w:val="center"/>
        <w:rPr>
          <w:rFonts w:hint="default" w:ascii="Times New Roman Regular" w:hAnsi="Times New Roman Regular" w:eastAsia="方正小标宋简体" w:cs="Times New Roman Regular"/>
          <w:sz w:val="44"/>
          <w:szCs w:val="44"/>
          <w:highlight w:val="none"/>
          <w:lang w:val="en-US" w:eastAsia="zh-CN"/>
        </w:rPr>
      </w:pPr>
      <w:r>
        <w:rPr>
          <w:rFonts w:hint="default" w:ascii="Times New Roman Regular" w:hAnsi="Times New Roman Regular" w:eastAsia="方正小标宋简体" w:cs="Times New Roman Regular"/>
          <w:sz w:val="44"/>
          <w:szCs w:val="44"/>
          <w:highlight w:val="none"/>
          <w:lang w:val="en-US" w:eastAsia="zh-CN"/>
        </w:rPr>
        <w:t>2023年北京市供销合作总社</w:t>
      </w:r>
    </w:p>
    <w:p>
      <w:pPr>
        <w:spacing w:line="560" w:lineRule="exact"/>
        <w:jc w:val="center"/>
        <w:rPr>
          <w:rFonts w:hint="default" w:ascii="Times New Roman Regular" w:hAnsi="Times New Roman Regular" w:eastAsia="方正小标宋简体" w:cs="Times New Roman Regular"/>
          <w:sz w:val="44"/>
          <w:szCs w:val="44"/>
          <w:highlight w:val="none"/>
          <w:lang w:val="en-US" w:eastAsia="zh-CN"/>
        </w:rPr>
      </w:pPr>
    </w:p>
    <w:p>
      <w:pPr>
        <w:spacing w:line="560" w:lineRule="exact"/>
        <w:jc w:val="center"/>
        <w:rPr>
          <w:rFonts w:hint="default" w:ascii="Times New Roman Regular" w:hAnsi="Times New Roman Regular" w:eastAsia="方正小标宋简体" w:cs="Times New Roman Regular"/>
          <w:sz w:val="44"/>
          <w:szCs w:val="44"/>
          <w:highlight w:val="none"/>
        </w:rPr>
      </w:pPr>
      <w:r>
        <w:rPr>
          <w:rFonts w:hint="default" w:ascii="Times New Roman Regular" w:hAnsi="Times New Roman Regular" w:eastAsia="方正小标宋简体" w:cs="Times New Roman Regular"/>
          <w:sz w:val="44"/>
          <w:szCs w:val="44"/>
          <w:highlight w:val="none"/>
        </w:rPr>
        <w:t>部门整体绩效报告</w:t>
      </w: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pStyle w:val="5"/>
        <w:ind w:left="0" w:leftChars="0" w:firstLine="0" w:firstLineChars="0"/>
        <w:rPr>
          <w:rFonts w:hint="default" w:ascii="Times New Roman Regular" w:hAnsi="Times New Roman Regular" w:cs="Times New Roman Regular"/>
          <w:highlight w:val="none"/>
        </w:rPr>
      </w:pPr>
    </w:p>
    <w:p>
      <w:pPr>
        <w:spacing w:line="560" w:lineRule="exact"/>
        <w:jc w:val="both"/>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both"/>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方正小标宋简体" w:cs="Times New Roman Regular"/>
          <w:sz w:val="36"/>
          <w:szCs w:val="36"/>
          <w:highlight w:val="none"/>
        </w:rPr>
      </w:pPr>
    </w:p>
    <w:p>
      <w:pPr>
        <w:spacing w:line="560" w:lineRule="exact"/>
        <w:jc w:val="center"/>
        <w:rPr>
          <w:rFonts w:hint="default" w:ascii="Times New Roman Regular" w:hAnsi="Times New Roman Regular" w:eastAsia="楷体" w:cs="Times New Roman Regular"/>
          <w:sz w:val="32"/>
          <w:szCs w:val="32"/>
          <w:highlight w:val="none"/>
          <w:lang w:val="en-US" w:eastAsia="zh-CN"/>
        </w:rPr>
      </w:pPr>
      <w:r>
        <w:rPr>
          <w:rFonts w:hint="default" w:ascii="Times New Roman Regular" w:hAnsi="Times New Roman Regular" w:eastAsia="楷体" w:cs="Times New Roman Regular"/>
          <w:sz w:val="32"/>
          <w:szCs w:val="32"/>
          <w:highlight w:val="none"/>
          <w:lang w:val="en-US" w:eastAsia="zh-CN"/>
        </w:rPr>
        <w:t>中审众环会计师事务所（特殊普通合伙）</w:t>
      </w:r>
    </w:p>
    <w:p>
      <w:pPr>
        <w:spacing w:line="560" w:lineRule="exact"/>
        <w:jc w:val="center"/>
        <w:rPr>
          <w:rFonts w:hint="default" w:ascii="Times New Roman Regular" w:hAnsi="Times New Roman Regular" w:eastAsia="楷体" w:cs="Times New Roman Regular"/>
          <w:sz w:val="32"/>
          <w:szCs w:val="32"/>
          <w:highlight w:val="none"/>
          <w:lang w:val="en-US" w:eastAsia="zh-CN"/>
        </w:rPr>
      </w:pPr>
      <w:r>
        <w:rPr>
          <w:rFonts w:hint="default" w:ascii="Times New Roman Regular" w:hAnsi="Times New Roman Regular" w:eastAsia="楷体" w:cs="Times New Roman Regular"/>
          <w:sz w:val="32"/>
          <w:szCs w:val="32"/>
          <w:highlight w:val="none"/>
          <w:lang w:val="en-US" w:eastAsia="zh-CN"/>
        </w:rPr>
        <w:t>2024年5月</w:t>
      </w:r>
    </w:p>
    <w:p>
      <w:pPr>
        <w:spacing w:before="0" w:beforeLines="0" w:after="0" w:afterLines="0" w:line="240" w:lineRule="auto"/>
        <w:ind w:left="0" w:leftChars="0" w:right="0" w:rightChars="0" w:firstLine="0" w:firstLineChars="0"/>
        <w:jc w:val="center"/>
        <w:rPr>
          <w:rFonts w:hint="default" w:ascii="Times New Roman Regular" w:hAnsi="Times New Roman Regular" w:eastAsia="宋体" w:cs="Times New Roman Regular"/>
          <w:b/>
          <w:bCs/>
          <w:kern w:val="2"/>
          <w:sz w:val="21"/>
          <w:szCs w:val="24"/>
          <w:highlight w:val="none"/>
          <w:lang w:val="en-US" w:eastAsia="zh-CN" w:bidi="ar-SA"/>
        </w:rPr>
      </w:pPr>
    </w:p>
    <w:p>
      <w:pPr>
        <w:spacing w:before="0" w:beforeLines="0" w:after="0" w:afterLines="0" w:line="240" w:lineRule="auto"/>
        <w:ind w:left="0" w:leftChars="0" w:right="0" w:rightChars="0" w:firstLine="0" w:firstLineChars="0"/>
        <w:jc w:val="both"/>
        <w:rPr>
          <w:rFonts w:hint="default" w:ascii="Times New Roman Regular" w:hAnsi="Times New Roman Regular" w:eastAsia="宋体" w:cs="Times New Roman Regular"/>
          <w:b/>
          <w:bCs/>
          <w:kern w:val="2"/>
          <w:sz w:val="21"/>
          <w:szCs w:val="24"/>
          <w:highlight w:val="none"/>
          <w:lang w:val="en-US" w:eastAsia="zh-CN" w:bidi="ar-SA"/>
        </w:rPr>
      </w:pPr>
    </w:p>
    <w:sdt>
      <w:sdtPr>
        <w:rPr>
          <w:rFonts w:hint="default" w:ascii="Times New Roman Regular" w:hAnsi="Times New Roman Regular" w:eastAsia="宋体" w:cs="Times New Roman Regular"/>
          <w:b/>
          <w:bCs/>
          <w:kern w:val="2"/>
          <w:sz w:val="21"/>
          <w:szCs w:val="24"/>
          <w:highlight w:val="none"/>
          <w:lang w:val="en-US" w:eastAsia="zh-CN" w:bidi="ar-SA"/>
        </w:rPr>
        <w:id w:val="147481331"/>
        <w15:color w:val="DBDBDB"/>
        <w:docPartObj>
          <w:docPartGallery w:val="Table of Contents"/>
          <w:docPartUnique/>
        </w:docPartObj>
      </w:sdtPr>
      <w:sdtEndPr>
        <w:rPr>
          <w:rFonts w:hint="default" w:ascii="Times New Roman Regular" w:hAnsi="Times New Roman Regular" w:eastAsia="宋体" w:cs="Times New Roman Regular"/>
          <w:b/>
          <w:bCs/>
          <w:kern w:val="2"/>
          <w:sz w:val="21"/>
          <w:szCs w:val="24"/>
          <w:highlight w:val="none"/>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Regular" w:hAnsi="Times New Roman Regular" w:eastAsia="宋体" w:cs="Times New Roman Regular"/>
              <w:b/>
              <w:bCs/>
              <w:kern w:val="2"/>
              <w:sz w:val="21"/>
              <w:szCs w:val="24"/>
              <w:highlight w:val="none"/>
              <w:lang w:val="en-US" w:eastAsia="zh-CN" w:bidi="ar-SA"/>
            </w:rPr>
            <w:sectPr>
              <w:footerReference r:id="rId3" w:type="default"/>
              <w:pgSz w:w="11906" w:h="16838"/>
              <w:pgMar w:top="1440" w:right="1800" w:bottom="1440" w:left="1800" w:header="851" w:footer="992" w:gutter="0"/>
              <w:pgNumType w:fmt="decimal" w:start="1"/>
              <w:cols w:space="425" w:num="1"/>
              <w:docGrid w:type="lines" w:linePitch="312" w:charSpace="0"/>
            </w:sectPr>
          </w:pPr>
        </w:p>
        <w:p>
          <w:pPr>
            <w:spacing w:before="0" w:beforeLines="0" w:after="0" w:afterLines="0" w:line="240" w:lineRule="auto"/>
            <w:ind w:left="0" w:leftChars="0" w:right="0" w:rightChars="0" w:firstLine="0" w:firstLineChars="0"/>
            <w:jc w:val="center"/>
            <w:rPr>
              <w:rFonts w:hint="default" w:ascii="Times New Roman Regular" w:hAnsi="Times New Roman Regular" w:eastAsia="宋体" w:cs="Times New Roman Regular"/>
              <w:b/>
              <w:bCs/>
              <w:sz w:val="36"/>
              <w:szCs w:val="36"/>
              <w:highlight w:val="none"/>
            </w:rPr>
          </w:pPr>
          <w:r>
            <w:rPr>
              <w:rFonts w:hint="default" w:ascii="Times New Roman Regular" w:hAnsi="Times New Roman Regular" w:eastAsia="宋体" w:cs="Times New Roman Regular"/>
              <w:b/>
              <w:bCs/>
              <w:sz w:val="36"/>
              <w:szCs w:val="36"/>
              <w:highlight w:val="none"/>
            </w:rPr>
            <w:t>目</w:t>
          </w:r>
          <w:r>
            <w:rPr>
              <w:rFonts w:hint="default" w:ascii="Times New Roman Regular" w:hAnsi="Times New Roman Regular" w:eastAsia="宋体" w:cs="Times New Roman Regular"/>
              <w:b/>
              <w:bCs/>
              <w:sz w:val="36"/>
              <w:szCs w:val="36"/>
              <w:highlight w:val="none"/>
              <w:lang w:val="en-US" w:eastAsia="zh-CN"/>
            </w:rPr>
            <w:t xml:space="preserve"> </w:t>
          </w:r>
          <w:r>
            <w:rPr>
              <w:rFonts w:hint="default" w:ascii="Times New Roman Regular" w:hAnsi="Times New Roman Regular" w:eastAsia="宋体" w:cs="Times New Roman Regular"/>
              <w:b/>
              <w:bCs/>
              <w:sz w:val="36"/>
              <w:szCs w:val="36"/>
              <w:highlight w:val="none"/>
            </w:rPr>
            <w:t>录</w:t>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TOC \o "1-3" \h \u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_Toc4626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一、部门概况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_Toc4626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_Toc29798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（一）机构设置及职责工作任务情况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_Toc29798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_Toc12692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1.机构设置</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_Toc12692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_Toc14716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2.主要职能</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_Toc14716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_Toc24479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3.人员情况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_Toc24479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_Toc32528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lang w:val="en-US" w:eastAsia="zh-CN"/>
            </w:rPr>
            <w:t>二</w:t>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rPr>
            <w:t>部门整体绩效目标设立情况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_Toc32528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_Toc18650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1.绩效目标设立依据</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_Toc18650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_Toc6678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2.目标与职责任务匹配情况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_Toc6678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_Toc26056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bCs/>
              <w:kern w:val="0"/>
              <w:sz w:val="32"/>
              <w:szCs w:val="32"/>
              <w:highlight w:val="none"/>
              <w:lang w:val="en-US" w:eastAsia="zh-CN"/>
            </w:rPr>
            <w:t>3.目标合理性</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_Toc26056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4</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_Toc8946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二、当年预算执行情况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_Toc8946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4</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_Toc12128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三、整体绩效目标实现情况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_Toc12128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7</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_Toc4165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（一）产出完成情况分析</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_Toc4165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7</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_Toc9535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1.产出数量</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_Toc9535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7</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_Toc8388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2.</w:t>
          </w:r>
          <w:r>
            <w:rPr>
              <w:rFonts w:hint="default" w:ascii="Times New Roman Regular" w:hAnsi="Times New Roman Regular" w:eastAsia="仿宋" w:cs="Times New Roman Regular"/>
              <w:kern w:val="0"/>
              <w:sz w:val="32"/>
              <w:szCs w:val="32"/>
              <w:highlight w:val="none"/>
            </w:rPr>
            <w:t>产出质量</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_Toc8388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9</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_Toc6793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3.产出进度</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_Toc6793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9</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_Toc21799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4.产出成本</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_Toc21799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10</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_Toc9913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（二）效果实现情况分析</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_Toc9913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10</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_Toc562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1</w:t>
          </w:r>
          <w:r>
            <w:rPr>
              <w:rFonts w:hint="default" w:ascii="Times New Roman Regular" w:hAnsi="Times New Roman Regular" w:eastAsia="仿宋" w:cs="Times New Roman Regular"/>
              <w:kern w:val="0"/>
              <w:sz w:val="32"/>
              <w:szCs w:val="32"/>
              <w:highlight w:val="none"/>
            </w:rPr>
            <w:t>.社会效益</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_Toc562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10</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_Toc16868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2</w:t>
          </w:r>
          <w:r>
            <w:rPr>
              <w:rFonts w:hint="default" w:ascii="Times New Roman Regular" w:hAnsi="Times New Roman Regular" w:eastAsia="仿宋" w:cs="Times New Roman Regular"/>
              <w:kern w:val="0"/>
              <w:sz w:val="32"/>
              <w:szCs w:val="32"/>
              <w:highlight w:val="none"/>
            </w:rPr>
            <w:t>.服务对象满意度</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_Toc16868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_Toc1127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四、预算管理情况分析</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_Toc1127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11</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_Toc4167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（一）财务管理</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_Toc4167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12</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sectPr>
              <w:pgSz w:w="11906" w:h="16838"/>
              <w:pgMar w:top="1440" w:right="1800" w:bottom="1440" w:left="1800" w:header="851" w:footer="992" w:gutter="0"/>
              <w:pgNumType w:fmt="decimal" w:start="1"/>
              <w:cols w:space="425" w:num="1"/>
              <w:docGrid w:type="lines" w:linePitch="312" w:charSpace="0"/>
            </w:sectPr>
          </w:pP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_Toc10720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1.财务管理制度健全性</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_Toc10720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12</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_Toc16151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2.</w:t>
          </w:r>
          <w:r>
            <w:rPr>
              <w:rFonts w:hint="default" w:ascii="Times New Roman Regular" w:hAnsi="Times New Roman Regular" w:eastAsia="仿宋" w:cs="Times New Roman Regular"/>
              <w:kern w:val="0"/>
              <w:sz w:val="32"/>
              <w:szCs w:val="32"/>
              <w:highlight w:val="none"/>
            </w:rPr>
            <w:t>资金使用合规性和安全性</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_Toc16151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12</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7"/>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_Toc19553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lang w:val="en-US" w:eastAsia="zh-CN"/>
            </w:rPr>
            <w:t>3.会计基础信息完善性</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_Toc19553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12</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_Toc9444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lang w:val="en-US" w:eastAsia="zh-CN"/>
            </w:rPr>
            <w:t>二</w:t>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rPr>
            <w:t>资产管理</w:t>
          </w:r>
          <w:bookmarkStart w:id="33" w:name="_GoBack"/>
          <w:bookmarkEnd w:id="33"/>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_Toc9444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12</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_Toc9386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lang w:val="en-US" w:eastAsia="zh-CN"/>
            </w:rPr>
            <w:t>三</w:t>
          </w:r>
          <w:r>
            <w:rPr>
              <w:rFonts w:hint="default" w:ascii="Times New Roman Regular" w:hAnsi="Times New Roman Regular" w:eastAsia="仿宋" w:cs="Times New Roman Regular"/>
              <w:sz w:val="32"/>
              <w:szCs w:val="32"/>
              <w:highlight w:val="none"/>
              <w:lang w:eastAsia="zh-CN"/>
            </w:rPr>
            <w:t>）绩效管理</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_Toc9386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_Toc10774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（四）结转结余率</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_Toc10774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13</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_Toc27014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lang w:val="en-US" w:eastAsia="zh-CN"/>
            </w:rPr>
            <w:t>五</w:t>
          </w:r>
          <w:r>
            <w:rPr>
              <w:rFonts w:hint="default" w:ascii="Times New Roman Regular" w:hAnsi="Times New Roman Regular" w:eastAsia="仿宋" w:cs="Times New Roman Regular"/>
              <w:sz w:val="32"/>
              <w:szCs w:val="32"/>
              <w:highlight w:val="none"/>
              <w:lang w:eastAsia="zh-CN"/>
            </w:rPr>
            <w:t>）部门预决算差异率</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_Toc27014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14</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_Toc25162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五、总体评价结论</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_Toc25162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16</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_Toc8240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（一）评价得分情况</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_Toc8240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16</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1"/>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_Toc17817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lang w:val="en-US" w:eastAsia="zh-CN"/>
            </w:rPr>
            <w:t>二</w:t>
          </w:r>
          <w:r>
            <w:rPr>
              <w:rFonts w:hint="default" w:ascii="Times New Roman Regular" w:hAnsi="Times New Roman Regular" w:eastAsia="仿宋" w:cs="Times New Roman Regular"/>
              <w:sz w:val="32"/>
              <w:szCs w:val="32"/>
              <w:highlight w:val="none"/>
              <w:lang w:eastAsia="zh-CN"/>
            </w:rPr>
            <w:t>）</w:t>
          </w:r>
          <w:r>
            <w:rPr>
              <w:rFonts w:hint="default" w:ascii="Times New Roman Regular" w:hAnsi="Times New Roman Regular" w:eastAsia="仿宋" w:cs="Times New Roman Regular"/>
              <w:sz w:val="32"/>
              <w:szCs w:val="32"/>
              <w:highlight w:val="none"/>
            </w:rPr>
            <w:t>存在的问题及原因分析</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_Toc17817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16</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pStyle w:val="10"/>
            <w:tabs>
              <w:tab w:val="right" w:leader="dot" w:pos="8306"/>
            </w:tabs>
            <w:rPr>
              <w:rFonts w:hint="default" w:ascii="Times New Roman Regular" w:hAnsi="Times New Roman Regular" w:eastAsia="仿宋" w:cs="Times New Roman Regular"/>
              <w:sz w:val="32"/>
              <w:szCs w:val="32"/>
              <w:highlight w:val="none"/>
            </w:rPr>
          </w:pP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HYPERLINK \l _Toc28930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kern w:val="0"/>
              <w:sz w:val="32"/>
              <w:szCs w:val="32"/>
              <w:highlight w:val="none"/>
            </w:rPr>
            <w:t>六、措施建议</w:t>
          </w:r>
          <w:r>
            <w:rPr>
              <w:rFonts w:hint="default" w:ascii="Times New Roman Regular" w:hAnsi="Times New Roman Regular" w:eastAsia="仿宋" w:cs="Times New Roman Regular"/>
              <w:sz w:val="32"/>
              <w:szCs w:val="32"/>
              <w:highlight w:val="none"/>
            </w:rPr>
            <w:tab/>
          </w:r>
          <w:r>
            <w:rPr>
              <w:rFonts w:hint="default" w:ascii="Times New Roman Regular" w:hAnsi="Times New Roman Regular" w:eastAsia="仿宋" w:cs="Times New Roman Regular"/>
              <w:sz w:val="32"/>
              <w:szCs w:val="32"/>
              <w:highlight w:val="none"/>
            </w:rPr>
            <w:fldChar w:fldCharType="begin"/>
          </w:r>
          <w:r>
            <w:rPr>
              <w:rFonts w:hint="default" w:ascii="Times New Roman Regular" w:hAnsi="Times New Roman Regular" w:eastAsia="仿宋" w:cs="Times New Roman Regular"/>
              <w:sz w:val="32"/>
              <w:szCs w:val="32"/>
              <w:highlight w:val="none"/>
            </w:rPr>
            <w:instrText xml:space="preserve"> PAGEREF _Toc28930 \h </w:instrText>
          </w:r>
          <w:r>
            <w:rPr>
              <w:rFonts w:hint="default" w:ascii="Times New Roman Regular" w:hAnsi="Times New Roman Regular" w:eastAsia="仿宋" w:cs="Times New Roman Regular"/>
              <w:sz w:val="32"/>
              <w:szCs w:val="32"/>
              <w:highlight w:val="none"/>
            </w:rPr>
            <w:fldChar w:fldCharType="separate"/>
          </w:r>
          <w:r>
            <w:rPr>
              <w:rFonts w:hint="default" w:ascii="Times New Roman Regular" w:hAnsi="Times New Roman Regular" w:eastAsia="仿宋" w:cs="Times New Roman Regular"/>
              <w:sz w:val="32"/>
              <w:szCs w:val="32"/>
              <w:highlight w:val="none"/>
            </w:rPr>
            <w:t>16</w:t>
          </w:r>
          <w:r>
            <w:rPr>
              <w:rFonts w:hint="default" w:ascii="Times New Roman Regular" w:hAnsi="Times New Roman Regular" w:eastAsia="仿宋" w:cs="Times New Roman Regular"/>
              <w:sz w:val="32"/>
              <w:szCs w:val="32"/>
              <w:highlight w:val="none"/>
            </w:rPr>
            <w:fldChar w:fldCharType="end"/>
          </w:r>
          <w:r>
            <w:rPr>
              <w:rFonts w:hint="default" w:ascii="Times New Roman Regular" w:hAnsi="Times New Roman Regular" w:eastAsia="仿宋" w:cs="Times New Roman Regular"/>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r>
            <w:rPr>
              <w:rFonts w:hint="default" w:ascii="Times New Roman Regular" w:hAnsi="Times New Roman Regular" w:eastAsia="仿宋" w:cs="Times New Roman Regular"/>
              <w:sz w:val="32"/>
              <w:szCs w:val="32"/>
              <w:highlight w:val="none"/>
            </w:rPr>
            <w:fldChar w:fldCharType="end"/>
          </w:r>
        </w:p>
      </w:sdtContent>
    </w:sdt>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Times New Roman Regular" w:hAnsi="Times New Roman Regular" w:cs="Times New Roman Regular"/>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Regular" w:hAnsi="Times New Roman Regular" w:eastAsia="黑体" w:cs="Times New Roman Regular"/>
          <w:color w:val="000000"/>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Times New Roman Regular" w:hAnsi="Times New Roman Regular" w:eastAsia="黑体" w:cs="Times New Roman Regular"/>
          <w:color w:val="000000"/>
          <w:kern w:val="0"/>
          <w:sz w:val="32"/>
          <w:szCs w:val="32"/>
          <w:highlight w:val="none"/>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46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Times New Roman Regular" w:hAnsi="Times New Roman Regular" w:eastAsia="黑体" w:cs="Times New Roman Regular"/>
          <w:color w:val="000000"/>
          <w:kern w:val="0"/>
          <w:sz w:val="32"/>
          <w:szCs w:val="32"/>
          <w:highlight w:val="none"/>
        </w:rPr>
      </w:pPr>
      <w:r>
        <w:rPr>
          <w:rFonts w:hint="default" w:ascii="Times New Roman Regular" w:hAnsi="Times New Roman Regular" w:eastAsia="黑体" w:cs="Times New Roman Regular"/>
          <w:color w:val="000000"/>
          <w:kern w:val="0"/>
          <w:sz w:val="32"/>
          <w:szCs w:val="32"/>
          <w:highlight w:val="none"/>
        </w:rPr>
        <w:t>一、部门概况</w:t>
      </w:r>
      <w:bookmarkEnd w:id="0"/>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default" w:ascii="Times New Roman Regular" w:hAnsi="Times New Roman Regular" w:eastAsia="仿宋" w:cs="Times New Roman Regular"/>
          <w:bCs/>
          <w:kern w:val="0"/>
          <w:sz w:val="32"/>
          <w:szCs w:val="32"/>
          <w:highlight w:val="none"/>
          <w:lang w:val="en-US" w:eastAsia="zh-CN"/>
        </w:rPr>
      </w:pPr>
      <w:bookmarkStart w:id="1" w:name="_Toc29798"/>
      <w:r>
        <w:rPr>
          <w:rFonts w:hint="default" w:ascii="Times New Roman Regular" w:hAnsi="Times New Roman Regular" w:eastAsia="楷体_GB2312" w:cs="Times New Roman Regular"/>
          <w:sz w:val="32"/>
          <w:szCs w:val="32"/>
          <w:highlight w:val="none"/>
        </w:rPr>
        <w:t>（一）机构设置及职责工作任务情况</w:t>
      </w:r>
      <w:bookmarkEnd w:id="1"/>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2" w:name="_Toc12692"/>
      <w:r>
        <w:rPr>
          <w:rFonts w:hint="default" w:ascii="Times New Roman Regular" w:hAnsi="Times New Roman Regular" w:eastAsia="仿宋" w:cs="Times New Roman Regular"/>
          <w:bCs/>
          <w:kern w:val="0"/>
          <w:sz w:val="32"/>
          <w:szCs w:val="32"/>
          <w:highlight w:val="none"/>
          <w:lang w:val="en-US" w:eastAsia="zh-CN"/>
        </w:rPr>
        <w:t>1.机构设置</w:t>
      </w:r>
      <w:bookmarkEnd w:id="2"/>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bCs/>
          <w:kern w:val="0"/>
          <w:sz w:val="32"/>
          <w:szCs w:val="32"/>
          <w:highlight w:val="none"/>
        </w:rPr>
      </w:pPr>
      <w:r>
        <w:rPr>
          <w:rFonts w:hint="default" w:ascii="Times New Roman Regular" w:hAnsi="Times New Roman Regular" w:eastAsia="仿宋" w:cs="Times New Roman Regular"/>
          <w:bCs/>
          <w:kern w:val="0"/>
          <w:sz w:val="32"/>
          <w:szCs w:val="32"/>
          <w:highlight w:val="none"/>
        </w:rPr>
        <w:t>北京市供销合作总社内设17个部室，包括办公室、组织部、宣传部、党委巡察工作办公室、纪委、理事会办公室、监事会办公室、工会、规划发展部、经营管理部、合作指导部、人力资源部、财务管理部、法务内控部、审计监督部、安全保卫部、老干部工作部；下设4个财政拨款单位，包括北京市供销合作总社（本级）、北京市经贸高级技术学校、北京市供销学校、北京市供销干部学校，三校均为全额拨款事业单位。</w:t>
      </w:r>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3" w:name="_Toc14716"/>
      <w:r>
        <w:rPr>
          <w:rFonts w:hint="default" w:ascii="Times New Roman Regular" w:hAnsi="Times New Roman Regular" w:eastAsia="仿宋" w:cs="Times New Roman Regular"/>
          <w:bCs/>
          <w:kern w:val="0"/>
          <w:sz w:val="32"/>
          <w:szCs w:val="32"/>
          <w:highlight w:val="none"/>
          <w:lang w:val="en-US" w:eastAsia="zh-CN"/>
        </w:rPr>
        <w:t>2.主要职能</w:t>
      </w:r>
      <w:bookmarkEnd w:id="3"/>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bCs/>
          <w:kern w:val="0"/>
          <w:sz w:val="32"/>
          <w:szCs w:val="32"/>
          <w:highlight w:val="none"/>
        </w:rPr>
      </w:pPr>
      <w:r>
        <w:rPr>
          <w:rFonts w:hint="default" w:ascii="Times New Roman Regular" w:hAnsi="Times New Roman Regular" w:eastAsia="仿宋" w:cs="Times New Roman Regular"/>
          <w:bCs/>
          <w:kern w:val="0"/>
          <w:sz w:val="32"/>
          <w:szCs w:val="32"/>
          <w:highlight w:val="none"/>
        </w:rPr>
        <w:t>北京市供销合作总社是全市供销合作社的领导机构和市级社社有资产的管理机构，主要履行系统行业指导和市级社社有资产出资人代表职能。作为党和政府密切联系农民群众的桥梁纽带和推动“三农”工作的重要载体，市供销秉承为农服务根本宗旨，积极融入首都经济社会发展，服务网络遍布北京城乡，在农资、果品、蜂产品、日化、粮油、再生资源回收利用和文化创意、孵化器、写字楼、旅馆、商场、市场经营等领域积极拓展经营服务，并探索开展了多种类金融业务。按照党和政府服务“三农”总体部署和上级要求，“十四五”期间，市社将以包括农业生产资料、农产品流通（冷链物流、仓储服务）、农产品加工、再生资源、农村信用合作服务为主的为农服务业；市场批发零售、电商、百货商场、超市为主的商贸服务业；企业自持物业经营、园区和孵化器运营为主要内容的物业经营管理为主攻方向，紧密围绕首都功能战略定位，立足“四个中心”，提升“四个服务”水平，立足新发展阶段，贯彻新发展理念，构建新发展格局，持续深化供销合作社综合改革，落实乡村振兴和京津冀协同发展战略，全面推进改革强社、服务立社、夯基建社、以企兴社、从严治社，全力以赴落实供销社政治责任、经济责任和社会责任，不断推进首都供销合作事业高质量发展。</w:t>
      </w:r>
    </w:p>
    <w:p>
      <w:pPr>
        <w:pStyle w:val="5"/>
        <w:rPr>
          <w:rFonts w:hint="default" w:ascii="Times New Roman Regular" w:hAnsi="Times New Roman Regular" w:eastAsia="仿宋" w:cs="Times New Roman Regular"/>
          <w:bCs/>
          <w:kern w:val="0"/>
          <w:sz w:val="32"/>
          <w:szCs w:val="32"/>
          <w:highlight w:val="none"/>
        </w:rPr>
      </w:pPr>
      <w:r>
        <w:rPr>
          <w:rFonts w:hint="default" w:ascii="Times New Roman Regular" w:hAnsi="Times New Roman Regular" w:eastAsia="仿宋" w:cs="Times New Roman Regular"/>
          <w:bCs/>
          <w:kern w:val="0"/>
          <w:sz w:val="32"/>
          <w:szCs w:val="32"/>
          <w:highlight w:val="none"/>
          <w:lang w:val="en-US" w:eastAsia="zh-CN"/>
        </w:rPr>
        <w:t>北京市经贸高级技术学校</w:t>
      </w:r>
      <w:r>
        <w:rPr>
          <w:rFonts w:hint="default" w:ascii="Times New Roman Regular" w:hAnsi="Times New Roman Regular" w:eastAsia="仿宋" w:cs="Times New Roman Regular"/>
          <w:bCs/>
          <w:kern w:val="0"/>
          <w:sz w:val="32"/>
          <w:szCs w:val="32"/>
          <w:highlight w:val="none"/>
        </w:rPr>
        <w:t>主要职</w:t>
      </w:r>
      <w:r>
        <w:rPr>
          <w:rFonts w:hint="default" w:ascii="Times New Roman Regular" w:hAnsi="Times New Roman Regular" w:eastAsia="仿宋" w:cs="Times New Roman Regular"/>
          <w:bCs/>
          <w:kern w:val="0"/>
          <w:sz w:val="32"/>
          <w:szCs w:val="32"/>
          <w:highlight w:val="none"/>
          <w:lang w:val="en-US" w:eastAsia="zh-CN"/>
        </w:rPr>
        <w:t>能为</w:t>
      </w:r>
      <w:r>
        <w:rPr>
          <w:rFonts w:hint="default" w:ascii="Times New Roman Regular" w:hAnsi="Times New Roman Regular" w:eastAsia="仿宋" w:cs="Times New Roman Regular"/>
          <w:bCs/>
          <w:kern w:val="0"/>
          <w:sz w:val="32"/>
          <w:szCs w:val="32"/>
          <w:highlight w:val="none"/>
        </w:rPr>
        <w:t>培养中高级技术人才，提高社会职业素质；培养商业、服务业中、高级技术工人和教师，培训高级技师；培养专科、本科人才及相关技能培训。</w:t>
      </w:r>
    </w:p>
    <w:p>
      <w:pPr>
        <w:pStyle w:val="5"/>
        <w:rPr>
          <w:rFonts w:hint="default" w:ascii="Times New Roman Regular" w:hAnsi="Times New Roman Regular" w:eastAsia="仿宋" w:cs="Times New Roman Regular"/>
          <w:bCs/>
          <w:kern w:val="0"/>
          <w:sz w:val="32"/>
          <w:szCs w:val="32"/>
          <w:highlight w:val="none"/>
        </w:rPr>
      </w:pPr>
      <w:r>
        <w:rPr>
          <w:rFonts w:hint="default" w:ascii="Times New Roman Regular" w:hAnsi="Times New Roman Regular" w:eastAsia="仿宋" w:cs="Times New Roman Regular"/>
          <w:bCs/>
          <w:kern w:val="0"/>
          <w:sz w:val="32"/>
          <w:szCs w:val="32"/>
          <w:highlight w:val="none"/>
          <w:lang w:val="en-US" w:eastAsia="zh-CN"/>
        </w:rPr>
        <w:t>北京市供销学校</w:t>
      </w:r>
      <w:r>
        <w:rPr>
          <w:rFonts w:hint="default" w:ascii="Times New Roman Regular" w:hAnsi="Times New Roman Regular" w:eastAsia="仿宋" w:cs="Times New Roman Regular"/>
          <w:bCs/>
          <w:kern w:val="0"/>
          <w:sz w:val="32"/>
          <w:szCs w:val="32"/>
          <w:highlight w:val="none"/>
        </w:rPr>
        <w:t>主要</w:t>
      </w:r>
      <w:r>
        <w:rPr>
          <w:rFonts w:hint="default" w:ascii="Times New Roman Regular" w:hAnsi="Times New Roman Regular" w:eastAsia="仿宋" w:cs="Times New Roman Regular"/>
          <w:bCs/>
          <w:kern w:val="0"/>
          <w:sz w:val="32"/>
          <w:szCs w:val="32"/>
          <w:highlight w:val="none"/>
          <w:lang w:val="en-US" w:eastAsia="zh-CN"/>
        </w:rPr>
        <w:t>职能为</w:t>
      </w:r>
      <w:r>
        <w:rPr>
          <w:rFonts w:hint="default" w:ascii="Times New Roman Regular" w:hAnsi="Times New Roman Regular" w:eastAsia="仿宋" w:cs="Times New Roman Regular"/>
          <w:bCs/>
          <w:kern w:val="0"/>
          <w:sz w:val="32"/>
          <w:szCs w:val="32"/>
          <w:highlight w:val="none"/>
        </w:rPr>
        <w:t>培养中专学历财经人才，促进经济发展；中专学历教育涉及财政学、金融学、会计学、电子商务学、营销学、计算机应用学、饭店管理学、秘书学等学科；开展相关科学研究、专业培训、学术交流、继续教育等社会服务。</w:t>
      </w:r>
    </w:p>
    <w:p>
      <w:pPr>
        <w:pStyle w:val="5"/>
        <w:rPr>
          <w:rFonts w:hint="default" w:ascii="Times New Roman Regular" w:hAnsi="Times New Roman Regular" w:cs="Times New Roman Regular"/>
          <w:highlight w:val="none"/>
        </w:rPr>
      </w:pPr>
      <w:r>
        <w:rPr>
          <w:rFonts w:hint="default" w:ascii="Times New Roman Regular" w:hAnsi="Times New Roman Regular" w:eastAsia="仿宋" w:cs="Times New Roman Regular"/>
          <w:bCs/>
          <w:kern w:val="0"/>
          <w:sz w:val="32"/>
          <w:szCs w:val="32"/>
          <w:highlight w:val="none"/>
          <w:lang w:val="en-US" w:eastAsia="zh-CN"/>
        </w:rPr>
        <w:t>北京市供销干部学校</w:t>
      </w:r>
      <w:r>
        <w:rPr>
          <w:rFonts w:hint="default" w:ascii="Times New Roman Regular" w:hAnsi="Times New Roman Regular" w:eastAsia="仿宋" w:cs="Times New Roman Regular"/>
          <w:bCs/>
          <w:kern w:val="0"/>
          <w:sz w:val="32"/>
          <w:szCs w:val="32"/>
          <w:highlight w:val="none"/>
        </w:rPr>
        <w:t>主要</w:t>
      </w:r>
      <w:r>
        <w:rPr>
          <w:rFonts w:hint="default" w:ascii="Times New Roman Regular" w:hAnsi="Times New Roman Regular" w:eastAsia="仿宋" w:cs="Times New Roman Regular"/>
          <w:bCs/>
          <w:kern w:val="0"/>
          <w:sz w:val="32"/>
          <w:szCs w:val="32"/>
          <w:highlight w:val="none"/>
          <w:lang w:val="en-US" w:eastAsia="zh-CN"/>
        </w:rPr>
        <w:t>职能为向</w:t>
      </w:r>
      <w:r>
        <w:rPr>
          <w:rFonts w:hint="default" w:ascii="Times New Roman Regular" w:hAnsi="Times New Roman Regular" w:eastAsia="仿宋" w:cs="Times New Roman Regular"/>
          <w:bCs/>
          <w:kern w:val="0"/>
          <w:sz w:val="32"/>
          <w:szCs w:val="32"/>
          <w:highlight w:val="none"/>
        </w:rPr>
        <w:t>在职干部提供中高等教育、培训服务；负责经济学、哲学、经营学等学科中高文化及理论教育；</w:t>
      </w:r>
      <w:r>
        <w:rPr>
          <w:rFonts w:hint="default" w:ascii="Times New Roman Regular" w:hAnsi="Times New Roman Regular" w:eastAsia="仿宋" w:cs="Times New Roman Regular"/>
          <w:bCs/>
          <w:kern w:val="0"/>
          <w:sz w:val="32"/>
          <w:szCs w:val="32"/>
          <w:highlight w:val="none"/>
          <w:lang w:val="en-US" w:eastAsia="zh-CN"/>
        </w:rPr>
        <w:t>开展</w:t>
      </w:r>
      <w:r>
        <w:rPr>
          <w:rFonts w:hint="default" w:ascii="Times New Roman Regular" w:hAnsi="Times New Roman Regular" w:eastAsia="仿宋" w:cs="Times New Roman Regular"/>
          <w:bCs/>
          <w:kern w:val="0"/>
          <w:sz w:val="32"/>
          <w:szCs w:val="32"/>
          <w:highlight w:val="none"/>
        </w:rPr>
        <w:t>相关科学研究、专业培训、学术交流、继续教育及相关社会服务。</w:t>
      </w:r>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4" w:name="_Toc24479"/>
      <w:r>
        <w:rPr>
          <w:rFonts w:hint="default" w:ascii="Times New Roman Regular" w:hAnsi="Times New Roman Regular" w:eastAsia="仿宋" w:cs="Times New Roman Regular"/>
          <w:bCs/>
          <w:kern w:val="0"/>
          <w:sz w:val="32"/>
          <w:szCs w:val="32"/>
          <w:highlight w:val="none"/>
          <w:lang w:val="en-US" w:eastAsia="zh-CN"/>
        </w:rPr>
        <w:t>3.人员情况</w:t>
      </w:r>
      <w:bookmarkEnd w:id="4"/>
    </w:p>
    <w:p>
      <w:pPr>
        <w:pStyle w:val="5"/>
        <w:rPr>
          <w:rFonts w:hint="default" w:ascii="Times New Roman Regular" w:hAnsi="Times New Roman Regular" w:eastAsia="仿宋" w:cs="Times New Roman Regular"/>
          <w:bCs/>
          <w:kern w:val="0"/>
          <w:sz w:val="32"/>
          <w:szCs w:val="32"/>
          <w:highlight w:val="none"/>
          <w:lang w:val="en-US" w:eastAsia="zh-CN"/>
        </w:rPr>
      </w:pPr>
      <w:bookmarkStart w:id="5" w:name="_Toc32528"/>
      <w:r>
        <w:rPr>
          <w:rFonts w:hint="default" w:ascii="Times New Roman Regular" w:hAnsi="Times New Roman Regular" w:eastAsia="仿宋" w:cs="Times New Roman Regular"/>
          <w:bCs/>
          <w:kern w:val="0"/>
          <w:sz w:val="32"/>
          <w:szCs w:val="32"/>
          <w:highlight w:val="none"/>
          <w:lang w:val="en-US" w:eastAsia="zh-CN"/>
        </w:rPr>
        <w:t>北京市供销合作总社有事业编制393人，实际219人；聘用人员14人；离退休人员169人，其中离休3人，退休166人。</w:t>
      </w:r>
    </w:p>
    <w:p>
      <w:pPr>
        <w:pStyle w:val="5"/>
        <w:rPr>
          <w:rFonts w:hint="default" w:ascii="Times New Roman Regular" w:hAnsi="Times New Roman Regular" w:eastAsia="仿宋" w:cs="Times New Roman Regular"/>
          <w:bCs/>
          <w:kern w:val="0"/>
          <w:sz w:val="32"/>
          <w:szCs w:val="32"/>
          <w:highlight w:val="none"/>
          <w:lang w:val="en-US" w:eastAsia="zh-CN"/>
        </w:rPr>
      </w:pPr>
      <w:r>
        <w:rPr>
          <w:rFonts w:hint="default" w:ascii="Times New Roman Regular" w:hAnsi="Times New Roman Regular" w:eastAsia="仿宋" w:cs="Times New Roman Regular"/>
          <w:bCs/>
          <w:kern w:val="0"/>
          <w:sz w:val="32"/>
          <w:szCs w:val="32"/>
          <w:highlight w:val="none"/>
          <w:lang w:val="en-US" w:eastAsia="zh-CN"/>
        </w:rPr>
        <w:t>北京市经贸高级技术学校有事业编制140人，实际112人；聘用人员14人；离退休人员47人，其中离休0人，退休47人。</w:t>
      </w:r>
    </w:p>
    <w:p>
      <w:pPr>
        <w:pStyle w:val="5"/>
        <w:rPr>
          <w:rFonts w:hint="default" w:ascii="Times New Roman Regular" w:hAnsi="Times New Roman Regular" w:eastAsia="仿宋" w:cs="Times New Roman Regular"/>
          <w:bCs/>
          <w:kern w:val="0"/>
          <w:sz w:val="32"/>
          <w:szCs w:val="32"/>
          <w:highlight w:val="none"/>
          <w:lang w:val="en-US" w:eastAsia="zh-CN"/>
        </w:rPr>
      </w:pPr>
      <w:r>
        <w:rPr>
          <w:rFonts w:hint="default" w:ascii="Times New Roman Regular" w:hAnsi="Times New Roman Regular" w:eastAsia="仿宋" w:cs="Times New Roman Regular"/>
          <w:bCs/>
          <w:kern w:val="0"/>
          <w:sz w:val="32"/>
          <w:szCs w:val="32"/>
          <w:highlight w:val="none"/>
          <w:lang w:val="en-US" w:eastAsia="zh-CN"/>
        </w:rPr>
        <w:t>北京市供销学校有事业编制163人，实际70人；聘用人员0人；离退休人员119人，其中离休3人，退休116人。</w:t>
      </w:r>
    </w:p>
    <w:p>
      <w:pPr>
        <w:pStyle w:val="5"/>
        <w:rPr>
          <w:rFonts w:hint="default" w:ascii="Times New Roman Regular" w:hAnsi="Times New Roman Regular" w:eastAsia="仿宋" w:cs="Times New Roman Regular"/>
          <w:bCs/>
          <w:kern w:val="0"/>
          <w:sz w:val="32"/>
          <w:szCs w:val="32"/>
          <w:highlight w:val="none"/>
          <w:lang w:val="en-US" w:eastAsia="zh-CN"/>
        </w:rPr>
      </w:pPr>
      <w:r>
        <w:rPr>
          <w:rFonts w:hint="default" w:ascii="Times New Roman Regular" w:hAnsi="Times New Roman Regular" w:eastAsia="仿宋" w:cs="Times New Roman Regular"/>
          <w:bCs/>
          <w:kern w:val="0"/>
          <w:sz w:val="32"/>
          <w:szCs w:val="32"/>
          <w:highlight w:val="none"/>
          <w:lang w:val="en-US" w:eastAsia="zh-CN"/>
        </w:rPr>
        <w:t>北京市供销干部有事业编制90人，实际37人；聘用人员0人；离退休人员3人，其中离休0人，退休3人。</w:t>
      </w:r>
    </w:p>
    <w:p>
      <w:pPr>
        <w:keepNext w:val="0"/>
        <w:keepLines w:val="0"/>
        <w:pageBreakBefore w:val="0"/>
        <w:kinsoku/>
        <w:wordWrap/>
        <w:overflowPunct/>
        <w:topLinePunct w:val="0"/>
        <w:bidi w:val="0"/>
        <w:adjustRightInd/>
        <w:snapToGrid/>
        <w:spacing w:line="360" w:lineRule="auto"/>
        <w:ind w:firstLine="640" w:firstLineChars="200"/>
        <w:textAlignment w:val="auto"/>
        <w:outlineLvl w:val="1"/>
        <w:rPr>
          <w:rFonts w:hint="default" w:ascii="Times New Roman Regular" w:hAnsi="Times New Roman Regular" w:eastAsia="楷体_GB2312" w:cs="Times New Roman Regular"/>
          <w:sz w:val="32"/>
          <w:szCs w:val="32"/>
          <w:highlight w:val="none"/>
        </w:rPr>
      </w:pPr>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lang w:val="en-US" w:eastAsia="zh-CN"/>
        </w:rPr>
        <w:t>二</w:t>
      </w:r>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rPr>
        <w:t>部门整体绩效目标设立情况</w:t>
      </w:r>
      <w:bookmarkEnd w:id="5"/>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6" w:name="_Toc18650"/>
      <w:r>
        <w:rPr>
          <w:rFonts w:hint="default" w:ascii="Times New Roman Regular" w:hAnsi="Times New Roman Regular" w:eastAsia="仿宋" w:cs="Times New Roman Regular"/>
          <w:bCs/>
          <w:kern w:val="0"/>
          <w:sz w:val="32"/>
          <w:szCs w:val="32"/>
          <w:highlight w:val="none"/>
          <w:lang w:val="en-US" w:eastAsia="zh-CN"/>
        </w:rPr>
        <w:t>1.绩效目标设立依据</w:t>
      </w:r>
      <w:bookmarkEnd w:id="6"/>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bCs/>
          <w:kern w:val="0"/>
          <w:sz w:val="32"/>
          <w:szCs w:val="32"/>
          <w:highlight w:val="none"/>
          <w:lang w:val="en-US" w:eastAsia="zh-CN"/>
        </w:rPr>
      </w:pPr>
      <w:r>
        <w:rPr>
          <w:rFonts w:hint="default" w:ascii="Times New Roman Regular" w:hAnsi="Times New Roman Regular" w:eastAsia="仿宋" w:cs="Times New Roman Regular"/>
          <w:bCs/>
          <w:kern w:val="0"/>
          <w:sz w:val="32"/>
          <w:szCs w:val="32"/>
          <w:highlight w:val="none"/>
          <w:lang w:val="en-US" w:eastAsia="zh-CN"/>
        </w:rPr>
        <w:t>北京市供销合作总社围绕部门职责及2023年重点工作任务设立绩效目标，符合相关法律法规的要求及部门整体支出的客观实际，目标依据充分。</w:t>
      </w:r>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7" w:name="_Toc6678"/>
      <w:r>
        <w:rPr>
          <w:rFonts w:hint="default" w:ascii="Times New Roman Regular" w:hAnsi="Times New Roman Regular" w:eastAsia="仿宋" w:cs="Times New Roman Regular"/>
          <w:bCs/>
          <w:kern w:val="0"/>
          <w:sz w:val="32"/>
          <w:szCs w:val="32"/>
          <w:highlight w:val="none"/>
          <w:lang w:val="en-US" w:eastAsia="zh-CN"/>
        </w:rPr>
        <w:t>2.目标与职责任务匹配情况</w:t>
      </w:r>
      <w:bookmarkEnd w:id="7"/>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bCs/>
          <w:kern w:val="0"/>
          <w:sz w:val="32"/>
          <w:szCs w:val="32"/>
          <w:highlight w:val="none"/>
          <w:lang w:val="en-US" w:eastAsia="zh-CN"/>
        </w:rPr>
      </w:pPr>
      <w:r>
        <w:rPr>
          <w:rFonts w:hint="default" w:ascii="Times New Roman Regular" w:hAnsi="Times New Roman Regular" w:eastAsia="仿宋" w:cs="Times New Roman Regular"/>
          <w:bCs/>
          <w:kern w:val="0"/>
          <w:sz w:val="32"/>
          <w:szCs w:val="32"/>
          <w:highlight w:val="none"/>
          <w:lang w:val="en-US" w:eastAsia="zh-CN"/>
        </w:rPr>
        <w:t>绩效目标设定</w:t>
      </w:r>
      <w:r>
        <w:rPr>
          <w:rFonts w:hint="default" w:ascii="Times New Roman Regular" w:hAnsi="Times New Roman Regular" w:eastAsia="仿宋" w:cs="Times New Roman Regular"/>
          <w:bCs/>
          <w:kern w:val="0"/>
          <w:sz w:val="32"/>
          <w:szCs w:val="32"/>
          <w:highlight w:val="none"/>
        </w:rPr>
        <w:t>符合国家相关要求</w:t>
      </w:r>
      <w:r>
        <w:rPr>
          <w:rFonts w:hint="default" w:ascii="Times New Roman Regular" w:hAnsi="Times New Roman Regular" w:eastAsia="仿宋" w:cs="Times New Roman Regular"/>
          <w:bCs/>
          <w:kern w:val="0"/>
          <w:sz w:val="32"/>
          <w:szCs w:val="32"/>
          <w:highlight w:val="none"/>
          <w:lang w:eastAsia="zh-CN"/>
        </w:rPr>
        <w:t>，</w:t>
      </w:r>
      <w:r>
        <w:rPr>
          <w:rFonts w:hint="default" w:ascii="Times New Roman Regular" w:hAnsi="Times New Roman Regular" w:eastAsia="仿宋" w:cs="Times New Roman Regular"/>
          <w:bCs/>
          <w:kern w:val="0"/>
          <w:sz w:val="32"/>
          <w:szCs w:val="32"/>
          <w:highlight w:val="none"/>
          <w:lang w:val="en-US" w:eastAsia="zh-CN"/>
        </w:rPr>
        <w:t>指标设定与部门职能任务匹配，按照改善办学条件、定额补助、教育教学、机构运行及学生资助等五类项目设定绩效目标</w:t>
      </w:r>
      <w:r>
        <w:rPr>
          <w:rFonts w:hint="default" w:ascii="Times New Roman Regular" w:hAnsi="Times New Roman Regular" w:eastAsia="仿宋" w:cs="Times New Roman Regular"/>
          <w:bCs/>
          <w:kern w:val="0"/>
          <w:sz w:val="32"/>
          <w:szCs w:val="32"/>
          <w:highlight w:val="none"/>
        </w:rPr>
        <w:t>，</w:t>
      </w:r>
      <w:r>
        <w:rPr>
          <w:rFonts w:hint="default" w:ascii="Times New Roman Regular" w:hAnsi="Times New Roman Regular" w:eastAsia="仿宋" w:cs="Times New Roman Regular"/>
          <w:bCs/>
          <w:kern w:val="0"/>
          <w:sz w:val="32"/>
          <w:szCs w:val="32"/>
          <w:highlight w:val="none"/>
          <w:lang w:val="en-US" w:eastAsia="zh-CN"/>
        </w:rPr>
        <w:t>能够有效改善并提升部门整体</w:t>
      </w:r>
      <w:r>
        <w:rPr>
          <w:rFonts w:hint="default" w:ascii="Times New Roman Regular" w:hAnsi="Times New Roman Regular" w:eastAsia="仿宋" w:cs="Times New Roman Regular"/>
          <w:bCs/>
          <w:kern w:val="0"/>
          <w:sz w:val="32"/>
          <w:szCs w:val="32"/>
          <w:highlight w:val="none"/>
        </w:rPr>
        <w:t>公共服务能力。</w:t>
      </w:r>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outlineLvl w:val="2"/>
        <w:rPr>
          <w:rFonts w:hint="default" w:ascii="Times New Roman Regular" w:hAnsi="Times New Roman Regular" w:eastAsia="仿宋" w:cs="Times New Roman Regular"/>
          <w:bCs/>
          <w:kern w:val="0"/>
          <w:sz w:val="32"/>
          <w:szCs w:val="32"/>
          <w:highlight w:val="none"/>
          <w:lang w:val="en-US" w:eastAsia="zh-CN"/>
        </w:rPr>
      </w:pPr>
      <w:bookmarkStart w:id="8" w:name="_Toc26056"/>
      <w:r>
        <w:rPr>
          <w:rFonts w:hint="default" w:ascii="Times New Roman Regular" w:hAnsi="Times New Roman Regular" w:eastAsia="仿宋" w:cs="Times New Roman Regular"/>
          <w:bCs/>
          <w:kern w:val="0"/>
          <w:sz w:val="32"/>
          <w:szCs w:val="32"/>
          <w:highlight w:val="none"/>
          <w:lang w:val="en-US" w:eastAsia="zh-CN"/>
        </w:rPr>
        <w:t>3.目标合理性</w:t>
      </w:r>
      <w:bookmarkEnd w:id="8"/>
    </w:p>
    <w:p>
      <w:pPr>
        <w:keepNext w:val="0"/>
        <w:keepLines w:val="0"/>
        <w:pageBreakBefore w:val="0"/>
        <w:numPr>
          <w:ilvl w:val="0"/>
          <w:numId w:val="0"/>
        </w:numPr>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bCs/>
          <w:kern w:val="0"/>
          <w:sz w:val="32"/>
          <w:szCs w:val="32"/>
          <w:highlight w:val="none"/>
          <w:lang w:val="en-US"/>
        </w:rPr>
      </w:pPr>
      <w:r>
        <w:rPr>
          <w:rFonts w:hint="default" w:ascii="Times New Roman Regular" w:hAnsi="Times New Roman Regular" w:eastAsia="仿宋" w:cs="Times New Roman Regular"/>
          <w:bCs/>
          <w:kern w:val="0"/>
          <w:sz w:val="32"/>
          <w:szCs w:val="32"/>
          <w:highlight w:val="none"/>
          <w:lang w:val="en-US" w:eastAsia="zh-CN"/>
        </w:rPr>
        <w:t>绩效目标设定</w:t>
      </w:r>
      <w:r>
        <w:rPr>
          <w:rFonts w:hint="default" w:ascii="Times New Roman Regular" w:hAnsi="Times New Roman Regular" w:eastAsia="仿宋" w:cs="Times New Roman Regular"/>
          <w:bCs/>
          <w:kern w:val="0"/>
          <w:sz w:val="32"/>
          <w:szCs w:val="32"/>
          <w:highlight w:val="none"/>
        </w:rPr>
        <w:t>符合</w:t>
      </w:r>
      <w:r>
        <w:rPr>
          <w:rFonts w:hint="default" w:ascii="Times New Roman Regular" w:hAnsi="Times New Roman Regular" w:eastAsia="仿宋" w:cs="Times New Roman Regular"/>
          <w:bCs/>
          <w:kern w:val="0"/>
          <w:sz w:val="32"/>
          <w:szCs w:val="32"/>
          <w:highlight w:val="none"/>
          <w:lang w:val="en-US" w:eastAsia="zh-CN"/>
        </w:rPr>
        <w:t>国家政策导向、产业发展方向、部门整体发展规划及各单位工作实际，明确了北京市供销合作总社总体绩效目标，具有一定的可操作性和可实现性。</w:t>
      </w:r>
    </w:p>
    <w:p>
      <w:pPr>
        <w:keepNext w:val="0"/>
        <w:keepLines w:val="0"/>
        <w:pageBreakBefore w:val="0"/>
        <w:kinsoku/>
        <w:wordWrap/>
        <w:overflowPunct/>
        <w:topLinePunct w:val="0"/>
        <w:bidi w:val="0"/>
        <w:adjustRightInd/>
        <w:snapToGrid/>
        <w:spacing w:line="360" w:lineRule="auto"/>
        <w:ind w:firstLine="640" w:firstLineChars="200"/>
        <w:textAlignment w:val="auto"/>
        <w:outlineLvl w:val="0"/>
        <w:rPr>
          <w:rFonts w:hint="default" w:ascii="Times New Roman Regular" w:hAnsi="Times New Roman Regular" w:eastAsia="黑体" w:cs="Times New Roman Regular"/>
          <w:color w:val="000000"/>
          <w:kern w:val="0"/>
          <w:sz w:val="32"/>
          <w:szCs w:val="32"/>
          <w:highlight w:val="none"/>
        </w:rPr>
      </w:pPr>
      <w:bookmarkStart w:id="9" w:name="_Toc8946"/>
      <w:r>
        <w:rPr>
          <w:rFonts w:hint="default" w:ascii="Times New Roman Regular" w:hAnsi="Times New Roman Regular" w:eastAsia="黑体" w:cs="Times New Roman Regular"/>
          <w:color w:val="000000"/>
          <w:kern w:val="0"/>
          <w:sz w:val="32"/>
          <w:szCs w:val="32"/>
          <w:highlight w:val="none"/>
        </w:rPr>
        <w:t>二、当年预算执行情况</w:t>
      </w:r>
      <w:bookmarkEnd w:id="9"/>
    </w:p>
    <w:p>
      <w:pPr>
        <w:keepNext w:val="0"/>
        <w:keepLines w:val="0"/>
        <w:pageBreakBefore w:val="0"/>
        <w:kinsoku/>
        <w:wordWrap/>
        <w:overflowPunct/>
        <w:topLinePunct w:val="0"/>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rPr>
      </w:pPr>
      <w:r>
        <w:rPr>
          <w:rFonts w:hint="default" w:ascii="Times New Roman Regular" w:hAnsi="Times New Roman Regular" w:eastAsia="仿宋" w:cs="Times New Roman Regular"/>
          <w:color w:val="auto"/>
          <w:kern w:val="0"/>
          <w:sz w:val="32"/>
          <w:szCs w:val="32"/>
          <w:highlight w:val="none"/>
        </w:rPr>
        <w:t>202</w:t>
      </w:r>
      <w:r>
        <w:rPr>
          <w:rFonts w:hint="default" w:ascii="Times New Roman Regular" w:hAnsi="Times New Roman Regular" w:eastAsia="仿宋" w:cs="Times New Roman Regular"/>
          <w:color w:val="auto"/>
          <w:kern w:val="0"/>
          <w:sz w:val="32"/>
          <w:szCs w:val="32"/>
          <w:highlight w:val="none"/>
          <w:lang w:val="en-US" w:eastAsia="zh-CN"/>
        </w:rPr>
        <w:t>3</w:t>
      </w:r>
      <w:r>
        <w:rPr>
          <w:rFonts w:hint="default" w:ascii="Times New Roman Regular" w:hAnsi="Times New Roman Regular" w:eastAsia="仿宋" w:cs="Times New Roman Regular"/>
          <w:color w:val="auto"/>
          <w:kern w:val="0"/>
          <w:sz w:val="32"/>
          <w:szCs w:val="32"/>
          <w:highlight w:val="none"/>
        </w:rPr>
        <w:t>年</w:t>
      </w:r>
      <w:r>
        <w:rPr>
          <w:rFonts w:hint="default" w:ascii="Times New Roman Regular" w:hAnsi="Times New Roman Regular" w:eastAsia="仿宋" w:cs="Times New Roman Regular"/>
          <w:color w:val="auto"/>
          <w:kern w:val="0"/>
          <w:sz w:val="32"/>
          <w:szCs w:val="32"/>
          <w:highlight w:val="none"/>
          <w:lang w:val="en-US" w:eastAsia="zh-CN"/>
        </w:rPr>
        <w:t>北京市供销合作总社</w:t>
      </w:r>
      <w:r>
        <w:rPr>
          <w:rFonts w:hint="default" w:ascii="Times New Roman Regular" w:hAnsi="Times New Roman Regular" w:eastAsia="仿宋" w:cs="Times New Roman Regular"/>
          <w:color w:val="auto"/>
          <w:kern w:val="0"/>
          <w:sz w:val="32"/>
          <w:szCs w:val="32"/>
          <w:highlight w:val="none"/>
        </w:rPr>
        <w:t>全年预算数10</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562</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844411万元，</w:t>
      </w:r>
      <w:r>
        <w:rPr>
          <w:rFonts w:hint="default" w:ascii="Times New Roman Regular" w:hAnsi="Times New Roman Regular" w:eastAsia="仿宋" w:cs="Times New Roman Regular"/>
          <w:color w:val="auto"/>
          <w:kern w:val="0"/>
          <w:sz w:val="32"/>
          <w:szCs w:val="32"/>
          <w:highlight w:val="none"/>
          <w:lang w:eastAsia="zh-CN"/>
        </w:rPr>
        <w:t>其中</w:t>
      </w:r>
      <w:r>
        <w:rPr>
          <w:rFonts w:hint="default" w:ascii="Times New Roman Regular" w:hAnsi="Times New Roman Regular" w:eastAsia="仿宋" w:cs="Times New Roman Regular"/>
          <w:color w:val="auto"/>
          <w:kern w:val="0"/>
          <w:sz w:val="32"/>
          <w:szCs w:val="32"/>
          <w:highlight w:val="none"/>
        </w:rPr>
        <w:t>基本支出预算数</w:t>
      </w:r>
      <w:r>
        <w:rPr>
          <w:rFonts w:hint="default" w:ascii="Times New Roman Regular" w:hAnsi="Times New Roman Regular" w:eastAsia="仿宋" w:cs="Times New Roman Regular"/>
          <w:color w:val="auto"/>
          <w:kern w:val="0"/>
          <w:sz w:val="32"/>
          <w:szCs w:val="32"/>
          <w:highlight w:val="none"/>
          <w:lang w:val="en-US" w:eastAsia="zh-CN"/>
        </w:rPr>
        <w:t>8,172.965874</w:t>
      </w:r>
      <w:r>
        <w:rPr>
          <w:rFonts w:hint="default" w:ascii="Times New Roman Regular" w:hAnsi="Times New Roman Regular" w:eastAsia="仿宋" w:cs="Times New Roman Regular"/>
          <w:color w:val="auto"/>
          <w:kern w:val="0"/>
          <w:sz w:val="32"/>
          <w:szCs w:val="32"/>
          <w:highlight w:val="none"/>
        </w:rPr>
        <w:t>万元，项目支出预算数</w:t>
      </w:r>
      <w:r>
        <w:rPr>
          <w:rFonts w:hint="default" w:ascii="Times New Roman Regular" w:hAnsi="Times New Roman Regular" w:eastAsia="仿宋" w:cs="Times New Roman Regular"/>
          <w:color w:val="auto"/>
          <w:kern w:val="0"/>
          <w:sz w:val="32"/>
          <w:szCs w:val="32"/>
          <w:highlight w:val="none"/>
          <w:lang w:val="en-US" w:eastAsia="zh-CN"/>
        </w:rPr>
        <w:t>2,323.815195</w:t>
      </w:r>
      <w:r>
        <w:rPr>
          <w:rFonts w:hint="default" w:ascii="Times New Roman Regular" w:hAnsi="Times New Roman Regular" w:eastAsia="仿宋" w:cs="Times New Roman Regular"/>
          <w:color w:val="auto"/>
          <w:kern w:val="0"/>
          <w:sz w:val="32"/>
          <w:szCs w:val="32"/>
          <w:highlight w:val="none"/>
        </w:rPr>
        <w:t>万元，其他支出预算数</w:t>
      </w:r>
      <w:r>
        <w:rPr>
          <w:rFonts w:hint="default" w:ascii="Times New Roman Regular" w:hAnsi="Times New Roman Regular" w:eastAsia="仿宋" w:cs="Times New Roman Regular"/>
          <w:color w:val="auto"/>
          <w:kern w:val="0"/>
          <w:sz w:val="32"/>
          <w:szCs w:val="32"/>
          <w:highlight w:val="none"/>
          <w:lang w:val="en-US" w:eastAsia="zh-CN"/>
        </w:rPr>
        <w:t>66.063342</w:t>
      </w:r>
      <w:r>
        <w:rPr>
          <w:rFonts w:hint="default" w:ascii="Times New Roman Regular" w:hAnsi="Times New Roman Regular" w:eastAsia="仿宋" w:cs="Times New Roman Regular"/>
          <w:color w:val="auto"/>
          <w:kern w:val="0"/>
          <w:sz w:val="32"/>
          <w:szCs w:val="32"/>
          <w:highlight w:val="none"/>
        </w:rPr>
        <w:t>万元。资金总体支出10</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241</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164973万元，</w:t>
      </w:r>
      <w:r>
        <w:rPr>
          <w:rFonts w:hint="default" w:ascii="Times New Roman Regular" w:hAnsi="Times New Roman Regular" w:eastAsia="仿宋" w:cs="Times New Roman Regular"/>
          <w:color w:val="auto"/>
          <w:kern w:val="0"/>
          <w:sz w:val="32"/>
          <w:szCs w:val="32"/>
          <w:highlight w:val="none"/>
          <w:lang w:eastAsia="zh-CN"/>
        </w:rPr>
        <w:t>其中</w:t>
      </w:r>
      <w:r>
        <w:rPr>
          <w:rFonts w:hint="default" w:ascii="Times New Roman Regular" w:hAnsi="Times New Roman Regular" w:eastAsia="仿宋" w:cs="Times New Roman Regular"/>
          <w:color w:val="auto"/>
          <w:kern w:val="0"/>
          <w:sz w:val="32"/>
          <w:szCs w:val="32"/>
          <w:highlight w:val="none"/>
        </w:rPr>
        <w:t>基本支出7</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935</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450089万元，项目支出2</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239</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867901万元，其他支出65</w:t>
      </w:r>
      <w:r>
        <w:rPr>
          <w:rFonts w:hint="default" w:ascii="Times New Roman Regular" w:hAnsi="Times New Roman Regular" w:eastAsia="仿宋" w:cs="Times New Roman Regular"/>
          <w:color w:val="auto"/>
          <w:kern w:val="0"/>
          <w:sz w:val="32"/>
          <w:szCs w:val="32"/>
          <w:highlight w:val="none"/>
          <w:lang w:val="en-US" w:eastAsia="zh-CN"/>
        </w:rPr>
        <w:t>.</w:t>
      </w:r>
      <w:r>
        <w:rPr>
          <w:rFonts w:hint="default" w:ascii="Times New Roman Regular" w:hAnsi="Times New Roman Regular" w:eastAsia="仿宋" w:cs="Times New Roman Regular"/>
          <w:color w:val="auto"/>
          <w:kern w:val="0"/>
          <w:sz w:val="32"/>
          <w:szCs w:val="32"/>
          <w:highlight w:val="none"/>
        </w:rPr>
        <w:t>846983万元</w:t>
      </w:r>
      <w:r>
        <w:rPr>
          <w:rFonts w:hint="default" w:ascii="Times New Roman Regular" w:hAnsi="Times New Roman Regular" w:eastAsia="仿宋" w:cs="Times New Roman Regular"/>
          <w:color w:val="auto"/>
          <w:kern w:val="0"/>
          <w:sz w:val="32"/>
          <w:szCs w:val="32"/>
          <w:highlight w:val="none"/>
          <w:lang w:eastAsia="zh-CN"/>
        </w:rPr>
        <w:t>，</w:t>
      </w:r>
      <w:r>
        <w:rPr>
          <w:rFonts w:hint="default" w:ascii="Times New Roman Regular" w:hAnsi="Times New Roman Regular" w:eastAsia="仿宋" w:cs="Times New Roman Regular"/>
          <w:color w:val="auto"/>
          <w:kern w:val="0"/>
          <w:sz w:val="32"/>
          <w:szCs w:val="32"/>
          <w:highlight w:val="none"/>
        </w:rPr>
        <w:t>预算执行率为</w:t>
      </w:r>
      <w:r>
        <w:rPr>
          <w:rFonts w:hint="default" w:ascii="Times New Roman Regular" w:hAnsi="Times New Roman Regular" w:eastAsia="仿宋" w:cs="Times New Roman Regular"/>
          <w:color w:val="auto"/>
          <w:kern w:val="0"/>
          <w:sz w:val="32"/>
          <w:szCs w:val="32"/>
          <w:highlight w:val="none"/>
          <w:lang w:val="en-US" w:eastAsia="zh-CN"/>
        </w:rPr>
        <w:t>96.95%</w:t>
      </w:r>
      <w:r>
        <w:rPr>
          <w:rFonts w:hint="default" w:ascii="Times New Roman Regular" w:hAnsi="Times New Roman Regular" w:eastAsia="仿宋" w:cs="Times New Roman Regular"/>
          <w:color w:val="auto"/>
          <w:kern w:val="0"/>
          <w:sz w:val="32"/>
          <w:szCs w:val="32"/>
          <w:highlight w:val="none"/>
        </w:rPr>
        <w:t>。</w:t>
      </w:r>
    </w:p>
    <w:p>
      <w:pPr>
        <w:pStyle w:val="2"/>
        <w:keepNext w:val="0"/>
        <w:keepLines w:val="0"/>
        <w:pageBreakBefore w:val="0"/>
        <w:widowControl/>
        <w:kinsoku/>
        <w:wordWrap/>
        <w:overflowPunct/>
        <w:topLinePunct w:val="0"/>
        <w:autoSpaceDE w:val="0"/>
        <w:autoSpaceDN w:val="0"/>
        <w:bidi w:val="0"/>
        <w:adjustRightInd/>
        <w:snapToGrid/>
        <w:spacing w:line="360" w:lineRule="auto"/>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2023年北京市供销合作总社本级全年预算数290万元，其中基本支出预算数0万元，项目支出预算数290万元，其他支出预算数290万元。资金总体支出290，其中基本支出0万元，项目支出290万元，其他支出0万元，预算执行率100%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2023年北京市经贸高级技术学校全年预算数5,632.296281万元，其中基本支出预算数4,342.523133万元，项目支出预算数1,230.957125万元，其他支出预算数58.816023万元。资金总体支出5,524.092685万元，其中基本支出4,279.06992万元，项目支出1,186.423101万元，其他支出58.599664万元，预算执行率98.08%。</w:t>
      </w:r>
    </w:p>
    <w:p>
      <w:pPr>
        <w:pStyle w:val="2"/>
        <w:keepNext w:val="0"/>
        <w:keepLines w:val="0"/>
        <w:pageBreakBefore w:val="0"/>
        <w:kinsoku/>
        <w:wordWrap/>
        <w:overflowPunct/>
        <w:topLinePunct w:val="0"/>
        <w:bidi w:val="0"/>
        <w:adjustRightInd/>
        <w:snapToGrid/>
        <w:spacing w:line="360" w:lineRule="auto"/>
        <w:jc w:val="both"/>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学校全年预算数3,372.387225万元，其中基本支出预算数2,568.645546万元，项目支出预算数802.858070万元，其他支出预算数0.883609万元。资金总体支出3,202.041710万元，其中基本支出2,437.713301万元，项目支出763.444800万元，其他支出0.883609万元，预算执行率94.95%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干部学校全年预算数1,268.160905万元，其中基本支出预算数1,261.797195万元，项目支出预算数0万元，其他支出预算数6.363710万元。资金总体支出1,225.030578万元，其中基本支出1,218.666868万元，项目支出0万元，其他支出6.363710万元，预算执行率96.60%。</w:t>
      </w:r>
    </w:p>
    <w:p>
      <w:pPr>
        <w:pStyle w:val="5"/>
        <w:ind w:left="0" w:leftChars="0" w:firstLine="0" w:firstLineChars="0"/>
        <w:jc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表1:</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2023年收入预、决算执行情况表</w:t>
      </w:r>
    </w:p>
    <w:p>
      <w:pPr>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p>
      <w:pPr>
        <w:rPr>
          <w:rFonts w:hint="default" w:ascii="Times New Roman Regular" w:hAnsi="Times New Roman Regular" w:cs="Times New Roman Regular"/>
          <w:highlight w:val="none"/>
          <w:lang w:val="en-US" w:eastAsia="zh-CN"/>
        </w:rPr>
      </w:pPr>
    </w:p>
    <w:tbl>
      <w:tblPr>
        <w:tblStyle w:val="12"/>
        <w:tblW w:w="854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66"/>
        <w:gridCol w:w="1810"/>
        <w:gridCol w:w="1810"/>
        <w:gridCol w:w="1554"/>
      </w:tblGrid>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项目</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预算执行率</w:t>
            </w:r>
          </w:p>
        </w:tc>
      </w:tr>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一般公共预算财政拨款收入</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138.827230 </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138.827230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事业收入</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206.382 </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206.382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经营收入</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66.063342 </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66.063342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其他收入</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10.404369 </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10.404369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7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2023年收入合计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421.67694</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421.67694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100%</w:t>
            </w:r>
          </w:p>
        </w:tc>
      </w:tr>
      <w:tr>
        <w:trPr>
          <w:trHeight w:val="57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年初结转和结余</w:t>
            </w:r>
          </w:p>
        </w:tc>
        <w:tc>
          <w:tcPr>
            <w:tcW w:w="1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141.16747</w:t>
            </w:r>
          </w:p>
        </w:tc>
        <w:tc>
          <w:tcPr>
            <w:tcW w:w="1810" w:type="dxa"/>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Regular" w:hAnsi="Times New Roman Regular" w:eastAsia="宋体" w:cs="Times New Roman Regular"/>
                <w:i w:val="0"/>
                <w:iCs w:val="0"/>
                <w:color w:val="000000"/>
                <w:kern w:val="2"/>
                <w:sz w:val="22"/>
                <w:szCs w:val="22"/>
                <w:highlight w:val="none"/>
                <w:u w:val="none"/>
                <w:lang w:val="en-US" w:eastAsia="zh-CN" w:bidi="ar-SA"/>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141.16747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kern w:val="2"/>
                <w:sz w:val="22"/>
                <w:szCs w:val="22"/>
                <w:highlight w:val="none"/>
                <w:u w:val="none"/>
                <w:lang w:val="en-US" w:eastAsia="zh-CN" w:bidi="ar-SA"/>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6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合计</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562.84441</w:t>
            </w:r>
          </w:p>
        </w:tc>
        <w:tc>
          <w:tcPr>
            <w:tcW w:w="1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jc w:val="right"/>
              <w:rPr>
                <w:rFonts w:hint="default" w:ascii="Times New Roman Regular" w:hAnsi="Times New Roman Regular" w:eastAsia="宋体" w:cs="Times New Roman Regular"/>
                <w:b/>
                <w:bCs/>
                <w:i w:val="0"/>
                <w:iCs w:val="0"/>
                <w:color w:val="000000"/>
                <w:kern w:val="2"/>
                <w:sz w:val="22"/>
                <w:szCs w:val="22"/>
                <w:highlight w:val="none"/>
                <w:u w:val="none"/>
                <w:lang w:val="en-US" w:eastAsia="zh-CN" w:bidi="ar-SA"/>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562.84441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kern w:val="2"/>
                <w:sz w:val="22"/>
                <w:szCs w:val="22"/>
                <w:highlight w:val="none"/>
                <w:u w:val="none"/>
                <w:lang w:val="en-US" w:eastAsia="zh-CN" w:bidi="ar-SA"/>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100%</w:t>
            </w:r>
          </w:p>
        </w:tc>
      </w:tr>
    </w:tbl>
    <w:p>
      <w:pPr>
        <w:pStyle w:val="5"/>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Regular" w:hAnsi="Times New Roman Regular" w:cs="Times New Roman Regular"/>
          <w:b/>
          <w:bCs/>
          <w:i w:val="0"/>
          <w:iCs w:val="0"/>
          <w:color w:val="000000"/>
          <w:kern w:val="0"/>
          <w:sz w:val="22"/>
          <w:szCs w:val="22"/>
          <w:highlight w:val="none"/>
          <w:u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Regular" w:hAnsi="Times New Roman Regular" w:cs="Times New Roman Regular"/>
          <w:b/>
          <w:bCs/>
          <w:i w:val="0"/>
          <w:iCs w:val="0"/>
          <w:color w:val="000000"/>
          <w:kern w:val="0"/>
          <w:sz w:val="22"/>
          <w:szCs w:val="22"/>
          <w:highlight w:val="none"/>
          <w:u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firstLine="0" w:firstLineChars="0"/>
        <w:jc w:val="center"/>
        <w:textAlignment w:val="auto"/>
        <w:rPr>
          <w:rFonts w:hint="default" w:ascii="Times New Roman Regular" w:hAnsi="Times New Roman Regular" w:cs="Times New Roman Regular"/>
          <w:highlight w:val="none"/>
          <w:lang w:val="en-US" w:eastAsia="zh-CN"/>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表2:</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2023年支出预、决算执行情况表</w:t>
      </w:r>
    </w:p>
    <w:p>
      <w:pPr>
        <w:keepNext w:val="0"/>
        <w:keepLines w:val="0"/>
        <w:pageBreakBefore w:val="0"/>
        <w:kinsoku/>
        <w:wordWrap/>
        <w:overflowPunct/>
        <w:topLinePunct w:val="0"/>
        <w:bidi w:val="0"/>
        <w:spacing w:line="360" w:lineRule="auto"/>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tbl>
      <w:tblPr>
        <w:tblStyle w:val="12"/>
        <w:tblW w:w="8558"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60"/>
        <w:gridCol w:w="1857"/>
        <w:gridCol w:w="2124"/>
        <w:gridCol w:w="1717"/>
      </w:tblGrid>
      <w:tr>
        <w:trPr>
          <w:trHeight w:val="507" w:hRule="atLeas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预算执行率</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（一）基本支出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8</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172.965874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935.450089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97.09%</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其中</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862.919313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689.732394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97.48%</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公用经费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310.046561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245.717695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95.09%</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（二）项目支出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323.815195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239.867901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96.39%</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其中</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基本建设类项目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w:t>
            </w:r>
          </w:p>
        </w:tc>
      </w:tr>
      <w:tr>
        <w:trPr>
          <w:trHeight w:val="50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（三）经营支出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66.063342 </w:t>
            </w:r>
          </w:p>
        </w:tc>
        <w:tc>
          <w:tcPr>
            <w:tcW w:w="21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65.846983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99.67%</w:t>
            </w:r>
          </w:p>
        </w:tc>
      </w:tr>
      <w:tr>
        <w:trPr>
          <w:trHeight w:val="54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562.84441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241.16497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96.95%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表3:</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2023年各单位收入支出明细表</w:t>
      </w:r>
    </w:p>
    <w:p>
      <w:pPr>
        <w:pStyle w:val="5"/>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tbl>
      <w:tblPr>
        <w:tblStyle w:val="12"/>
        <w:tblW w:w="85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45"/>
        <w:gridCol w:w="1973"/>
        <w:gridCol w:w="2133"/>
        <w:gridCol w:w="1694"/>
      </w:tblGrid>
      <w:tr>
        <w:trPr>
          <w:trHeight w:val="522" w:hRule="exact"/>
        </w:trPr>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单位名称</w:t>
            </w:r>
          </w:p>
        </w:tc>
        <w:tc>
          <w:tcPr>
            <w:tcW w:w="5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本年收入</w:t>
            </w:r>
          </w:p>
        </w:tc>
      </w:tr>
      <w:tr>
        <w:trPr>
          <w:trHeight w:val="522" w:hRule="exact"/>
        </w:trPr>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b/>
                <w:bCs/>
                <w:i w:val="0"/>
                <w:iCs w:val="0"/>
                <w:color w:val="000000"/>
                <w:sz w:val="22"/>
                <w:szCs w:val="22"/>
                <w:highlight w:val="none"/>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决算数</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预算执行率</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290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290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经贸高级技术学校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574.138363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574.138363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100%</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334.985470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334.985470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供销干部学校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222.553108 </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222.553108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522" w:hRule="exact"/>
        </w:trPr>
        <w:tc>
          <w:tcPr>
            <w:tcW w:w="2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合计</w:t>
            </w:r>
          </w:p>
        </w:tc>
        <w:tc>
          <w:tcPr>
            <w:tcW w:w="19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421.676941 </w:t>
            </w:r>
          </w:p>
        </w:tc>
        <w:tc>
          <w:tcPr>
            <w:tcW w:w="21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421.676941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100%</w:t>
            </w:r>
          </w:p>
        </w:tc>
      </w:tr>
      <w:tr>
        <w:trPr>
          <w:trHeight w:val="522" w:hRule="exact"/>
        </w:trPr>
        <w:tc>
          <w:tcPr>
            <w:tcW w:w="2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cs="Times New Roman Regular"/>
                <w:highlight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单位名称</w:t>
            </w:r>
          </w:p>
        </w:tc>
        <w:tc>
          <w:tcPr>
            <w:tcW w:w="580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本年支出</w:t>
            </w:r>
          </w:p>
        </w:tc>
      </w:tr>
      <w:tr>
        <w:trPr>
          <w:trHeight w:val="522" w:hRule="exact"/>
        </w:trPr>
        <w:tc>
          <w:tcPr>
            <w:tcW w:w="2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b/>
                <w:bCs/>
                <w:i w:val="0"/>
                <w:iCs w:val="0"/>
                <w:color w:val="000000"/>
                <w:sz w:val="22"/>
                <w:szCs w:val="22"/>
                <w:highlight w:val="none"/>
                <w:u w:val="none"/>
              </w:rPr>
            </w:pP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决算数</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预算执行率</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290</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290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经贸高级技术学校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5,632.296281</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5,524.092685</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98.08%</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3,372.387225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3,202.041710</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94.95%</w:t>
            </w:r>
          </w:p>
        </w:tc>
      </w:tr>
      <w:tr>
        <w:trPr>
          <w:trHeight w:val="522" w:hRule="exact"/>
        </w:trPr>
        <w:tc>
          <w:tcPr>
            <w:tcW w:w="2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供销干部学校</w:t>
            </w:r>
          </w:p>
        </w:tc>
        <w:tc>
          <w:tcPr>
            <w:tcW w:w="19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1,268.160905</w:t>
            </w:r>
          </w:p>
        </w:tc>
        <w:tc>
          <w:tcPr>
            <w:tcW w:w="2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1,225.030578</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96.60%</w:t>
            </w:r>
          </w:p>
        </w:tc>
      </w:tr>
      <w:tr>
        <w:trPr>
          <w:trHeight w:val="555" w:hRule="exact"/>
        </w:trPr>
        <w:tc>
          <w:tcPr>
            <w:tcW w:w="274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合计</w:t>
            </w:r>
          </w:p>
        </w:tc>
        <w:tc>
          <w:tcPr>
            <w:tcW w:w="197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562.844411 </w:t>
            </w:r>
          </w:p>
        </w:tc>
        <w:tc>
          <w:tcPr>
            <w:tcW w:w="21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241.164973 </w:t>
            </w:r>
          </w:p>
        </w:tc>
        <w:tc>
          <w:tcPr>
            <w:tcW w:w="16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96.95%</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ind w:firstLine="640" w:firstLineChars="200"/>
        <w:textAlignment w:val="auto"/>
        <w:outlineLvl w:val="0"/>
        <w:rPr>
          <w:rFonts w:hint="default" w:ascii="Times New Roman Regular" w:hAnsi="Times New Roman Regular" w:eastAsia="黑体" w:cs="Times New Roman Regular"/>
          <w:color w:val="000000"/>
          <w:kern w:val="0"/>
          <w:sz w:val="32"/>
          <w:szCs w:val="32"/>
          <w:highlight w:val="none"/>
        </w:rPr>
      </w:pPr>
      <w:bookmarkStart w:id="10" w:name="_Toc12128"/>
      <w:r>
        <w:rPr>
          <w:rFonts w:hint="default" w:ascii="Times New Roman Regular" w:hAnsi="Times New Roman Regular" w:eastAsia="黑体" w:cs="Times New Roman Regular"/>
          <w:color w:val="000000"/>
          <w:kern w:val="0"/>
          <w:sz w:val="32"/>
          <w:szCs w:val="32"/>
          <w:highlight w:val="none"/>
        </w:rPr>
        <w:t>三、整体绩效目标实现情况</w:t>
      </w:r>
      <w:bookmarkEnd w:id="1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11" w:name="_Toc4165"/>
      <w:r>
        <w:rPr>
          <w:rFonts w:hint="default" w:ascii="Times New Roman Regular" w:hAnsi="Times New Roman Regular" w:eastAsia="楷体_GB2312" w:cs="Times New Roman Regular"/>
          <w:sz w:val="32"/>
          <w:szCs w:val="32"/>
          <w:highlight w:val="none"/>
        </w:rPr>
        <w:t>（一）产出完成情况分析</w:t>
      </w:r>
      <w:bookmarkEnd w:id="11"/>
    </w:p>
    <w:p>
      <w:pPr>
        <w:keepNext w:val="0"/>
        <w:keepLines w:val="0"/>
        <w:pageBreakBefore w:val="0"/>
        <w:kinsoku/>
        <w:wordWrap/>
        <w:overflowPunct/>
        <w:topLinePunct w:val="0"/>
        <w:bidi w:val="0"/>
        <w:adjustRightInd/>
        <w:snapToGrid/>
        <w:spacing w:line="360" w:lineRule="auto"/>
        <w:ind w:left="105" w:leftChars="50" w:firstLine="480" w:firstLineChars="15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12" w:name="_Toc9535"/>
      <w:r>
        <w:rPr>
          <w:rFonts w:hint="default" w:ascii="Times New Roman Regular" w:hAnsi="Times New Roman Regular" w:eastAsia="仿宋_GB2312" w:cs="Times New Roman Regular"/>
          <w:color w:val="000000"/>
          <w:kern w:val="0"/>
          <w:sz w:val="32"/>
          <w:szCs w:val="32"/>
          <w:highlight w:val="none"/>
        </w:rPr>
        <w:t>1.产出数量</w:t>
      </w:r>
      <w:bookmarkEnd w:id="12"/>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及其下属单位北京市供销合作总社本级、北京市经贸高级技术学校、北京市供销学校和北京市供销干部学校共有项目22个，包括改善办学条件、供销社定额补助、教育教学、机构运行及学生资助5个方面，总体资金支出为2,238.447901万元，总体预算执行率为96.42%。</w:t>
      </w:r>
    </w:p>
    <w:p>
      <w:pPr>
        <w:jc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表4:</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2023年北京市供销合作总社项目情况表</w:t>
      </w:r>
    </w:p>
    <w:p>
      <w:pPr>
        <w:pStyle w:val="5"/>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tbl>
      <w:tblPr>
        <w:tblStyle w:val="12"/>
        <w:tblW w:w="928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600"/>
        <w:gridCol w:w="3960"/>
        <w:gridCol w:w="1666"/>
        <w:gridCol w:w="1323"/>
      </w:tblGrid>
      <w:tr>
        <w:trPr>
          <w:trHeight w:val="460" w:hRule="exact"/>
          <w:tblHeader/>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序号</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项目名称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2023年支出数</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预算执行率</w:t>
            </w:r>
          </w:p>
        </w:tc>
      </w:tr>
      <w:tr>
        <w:trPr>
          <w:trHeight w:val="658"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39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供销社定额补助（费用补贴）</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290</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小</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 </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290</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北京市经贸高级技术学校</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both"/>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3号楼安全修缮改造工程</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62</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337743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中等职业教育助学金项目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10</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612</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78.14%</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中等职业教育学生物价补贴</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14</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007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80.45%</w:t>
            </w:r>
          </w:p>
        </w:tc>
      </w:tr>
      <w:tr>
        <w:trPr>
          <w:trHeight w:val="59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特高项目奇虎360网络安全服务工程师学院建设项目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475</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92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99.98%</w:t>
            </w:r>
          </w:p>
        </w:tc>
      </w:tr>
      <w:tr>
        <w:trPr>
          <w:trHeight w:val="48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家具设计与制造专业实训室建设项目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41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147258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学生文化活动中心设备更新</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148</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8495</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99.47%</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8</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机动经费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15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3号楼学生宿舍家具购置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95</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3936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劳务派遣管理服务费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336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99.40%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11</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专业咨询类项目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516"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3#、4#、12#学生宿舍楼消防改造工程</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310</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99.52%</w:t>
            </w:r>
          </w:p>
        </w:tc>
      </w:tr>
      <w:tr>
        <w:trPr>
          <w:trHeight w:val="460" w:hRule="exact"/>
          <w:jc w:val="center"/>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小</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 1</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185</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003101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96.44%</w:t>
            </w:r>
          </w:p>
        </w:tc>
      </w:tr>
      <w:tr>
        <w:trPr>
          <w:trHeight w:val="739"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13</w:t>
            </w: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北京市供销学校</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摄影摄像后期制作补充完善实训室建设项目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138</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8405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99.58%</w:t>
            </w:r>
          </w:p>
        </w:tc>
      </w:tr>
      <w:tr>
        <w:trPr>
          <w:trHeight w:val="627"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14</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教学多媒体触控一体机及网络技术大赛设备购置项目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138</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1995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99.52%</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15</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机动经费</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60</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16</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中等职业教育助学金项目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9</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382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66.72%</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17</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信息系统运维类项目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20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25"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18</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城市轨道交通车站设备运营管理实训室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105</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68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99.70%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19</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专业咨询类项目</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10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100%</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20</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中等职业教育学生物价补贴</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24</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3484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91.66%</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21</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网络与信息安全等级保护建设</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201</w:t>
            </w:r>
            <w:r>
              <w:rPr>
                <w:rFonts w:hint="default" w:ascii="Times New Roman Regular" w:hAnsi="Times New Roman Regular" w:cs="Times New Roman Regular"/>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9944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86.75%</w:t>
            </w:r>
          </w:p>
        </w:tc>
      </w:tr>
      <w:tr>
        <w:trPr>
          <w:trHeight w:val="460" w:hRule="exac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22</w:t>
            </w: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rPr>
                <w:rFonts w:hint="default" w:ascii="Times New Roman Regular" w:hAnsi="Times New Roman Regular" w:eastAsia="宋体" w:cs="Times New Roman Regular"/>
                <w:i w:val="0"/>
                <w:iCs w:val="0"/>
                <w:color w:val="000000"/>
                <w:sz w:val="22"/>
                <w:szCs w:val="22"/>
                <w:highlight w:val="none"/>
                <w:u w:val="none"/>
              </w:rPr>
            </w:pP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客舱安全应急虚拟仿真教学软件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55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99.82%</w:t>
            </w:r>
          </w:p>
        </w:tc>
      </w:tr>
      <w:tr>
        <w:trPr>
          <w:trHeight w:val="460" w:hRule="exact"/>
          <w:jc w:val="center"/>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小</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计</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 763</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4448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95.09%</w:t>
            </w:r>
          </w:p>
        </w:tc>
      </w:tr>
      <w:tr>
        <w:trPr>
          <w:trHeight w:val="470" w:hRule="exact"/>
          <w:jc w:val="center"/>
        </w:trPr>
        <w:tc>
          <w:tcPr>
            <w:tcW w:w="629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合</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计</w:t>
            </w:r>
          </w:p>
        </w:tc>
        <w:tc>
          <w:tcPr>
            <w:tcW w:w="1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 2</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238</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 xml:space="preserve">447901 </w:t>
            </w:r>
          </w:p>
        </w:tc>
        <w:tc>
          <w:tcPr>
            <w:tcW w:w="13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96.42%</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（1）供销社定额补助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2023年北京市供销合作总社在供销社定额补助方面的内容主要包括北京市供销合作总社本级按政策依据列支定额补助资金290万元。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（2）改善办学条件</w:t>
      </w:r>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2023年北京市供销合作总社在改善办学条件方面的内容主要包括北京市经贸高级技术学校完成3号楼安全修缮面积7861.83平方米、3号楼家具购置575件及学生宿舍楼消防改造工程26837件。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（3）教育教学</w:t>
      </w:r>
    </w:p>
    <w:p>
      <w:pPr>
        <w:pStyle w:val="2"/>
        <w:keepNext w:val="0"/>
        <w:keepLines w:val="0"/>
        <w:pageBreakBefore w:val="0"/>
        <w:widowControl/>
        <w:numPr>
          <w:ilvl w:val="0"/>
          <w:numId w:val="0"/>
        </w:numPr>
        <w:kinsoku/>
        <w:wordWrap/>
        <w:overflowPunct/>
        <w:topLinePunct w:val="0"/>
        <w:autoSpaceDE w:val="0"/>
        <w:autoSpaceDN w:val="0"/>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在教育教学方面的内容主要包括北京市经贸高级技术学校购置学生文化活动中心设备329台、建设家具设计与制造专业实训室1个及开展奇虎360网络安全服务工程师学院建设项目1次；北京市供销学校购置教学多媒体系统触控一体机15套、等保测评服务1次、建设摄像后期制作实训室1个、购买客舱安全应急虚拟仿真教学软件9套及采购城市轨道交通车站设备运营管理实训系统28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（4）机构运行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2023年北京市供销合作总社在机构运行方面的内容主要包括北京市经贸高级技术学校完成劳务派遣14人、上门法律咨询7次及北京市供销学校完成上门法律咨询6次。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（5）学生资助</w:t>
      </w:r>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在学生资助方面的内容主要包括完成北京市经贸高级技术学校与北京市供销学校为全日制具有普通学籍受资助学生按不同标准发放国家助学金2500元/年/人或/1800元/年/人及发放物价补贴580元/年/人。</w:t>
      </w:r>
    </w:p>
    <w:p>
      <w:pPr>
        <w:keepNext w:val="0"/>
        <w:keepLines w:val="0"/>
        <w:pageBreakBefore w:val="0"/>
        <w:numPr>
          <w:ilvl w:val="0"/>
          <w:numId w:val="0"/>
        </w:numPr>
        <w:kinsoku/>
        <w:wordWrap/>
        <w:overflowPunct/>
        <w:topLinePunct w:val="0"/>
        <w:bidi w:val="0"/>
        <w:adjustRightInd/>
        <w:snapToGrid/>
        <w:spacing w:line="360" w:lineRule="auto"/>
        <w:ind w:leftChars="200" w:firstLine="320" w:firstLineChars="10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13" w:name="_Toc8388"/>
      <w:r>
        <w:rPr>
          <w:rFonts w:hint="default" w:ascii="Times New Roman Regular" w:hAnsi="Times New Roman Regular" w:eastAsia="仿宋_GB2312" w:cs="Times New Roman Regular"/>
          <w:color w:val="000000"/>
          <w:kern w:val="0"/>
          <w:sz w:val="32"/>
          <w:szCs w:val="32"/>
          <w:highlight w:val="none"/>
          <w:lang w:val="en-US" w:eastAsia="zh-CN"/>
        </w:rPr>
        <w:t>2.</w:t>
      </w:r>
      <w:r>
        <w:rPr>
          <w:rFonts w:hint="default" w:ascii="Times New Roman Regular" w:hAnsi="Times New Roman Regular" w:eastAsia="仿宋_GB2312" w:cs="Times New Roman Regular"/>
          <w:color w:val="000000"/>
          <w:kern w:val="0"/>
          <w:sz w:val="32"/>
          <w:szCs w:val="32"/>
          <w:highlight w:val="none"/>
        </w:rPr>
        <w:t>产出质量</w:t>
      </w:r>
      <w:bookmarkEnd w:id="13"/>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北京市供销合作总社及其下属各部门项目符合相关建设要求，达到质量标准、竣工验收合格。</w:t>
      </w:r>
    </w:p>
    <w:p>
      <w:pPr>
        <w:keepNext w:val="0"/>
        <w:keepLines w:val="0"/>
        <w:pageBreakBefore w:val="0"/>
        <w:numPr>
          <w:ilvl w:val="0"/>
          <w:numId w:val="0"/>
        </w:numPr>
        <w:kinsoku/>
        <w:wordWrap/>
        <w:overflowPunct/>
        <w:topLinePunct w:val="0"/>
        <w:bidi w:val="0"/>
        <w:adjustRightInd/>
        <w:snapToGrid/>
        <w:spacing w:line="360" w:lineRule="auto"/>
        <w:ind w:leftChars="200" w:firstLine="320" w:firstLineChars="100"/>
        <w:textAlignment w:val="auto"/>
        <w:outlineLvl w:val="2"/>
        <w:rPr>
          <w:rFonts w:hint="default" w:ascii="Times New Roman Regular" w:hAnsi="Times New Roman Regular" w:eastAsia="仿宋_GB2312" w:cs="Times New Roman Regular"/>
          <w:color w:val="000000"/>
          <w:kern w:val="0"/>
          <w:sz w:val="32"/>
          <w:szCs w:val="32"/>
          <w:highlight w:val="none"/>
          <w:lang w:val="en-US" w:eastAsia="zh-CN"/>
        </w:rPr>
      </w:pPr>
      <w:bookmarkStart w:id="14" w:name="_Toc6793"/>
      <w:r>
        <w:rPr>
          <w:rFonts w:hint="default" w:ascii="Times New Roman Regular" w:hAnsi="Times New Roman Regular" w:eastAsia="仿宋_GB2312" w:cs="Times New Roman Regular"/>
          <w:color w:val="000000"/>
          <w:kern w:val="0"/>
          <w:sz w:val="32"/>
          <w:szCs w:val="32"/>
          <w:highlight w:val="none"/>
          <w:lang w:val="en-US" w:eastAsia="zh-CN"/>
        </w:rPr>
        <w:t>3.产出进度</w:t>
      </w:r>
      <w:bookmarkEnd w:id="14"/>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项目总体产出进度与设计方案及预期绩效相一致，但部分项目在执行过程中未能按设计进度执行，如“3#、4#、12#学生宿舍楼消防改造工程”中时效指标“签订合同或协议，2023年6月前”，但实际完成时间为2023年7月10日；“项目招投标，2023年3月-5月”，但实际完成时间为2023年6月21日。“摄影摄像后期制作补充完善实训室建设项目”中时效指标“招标采购时间，2023年6月前”，但实际完成时间为2023年6月14日。以上两项目均未能按设计进度如期开展，存在项目执行过程中项目产出进度滞后的问题。</w:t>
      </w:r>
    </w:p>
    <w:p>
      <w:pPr>
        <w:keepNext w:val="0"/>
        <w:keepLines w:val="0"/>
        <w:pageBreakBefore w:val="0"/>
        <w:numPr>
          <w:ilvl w:val="0"/>
          <w:numId w:val="0"/>
        </w:numPr>
        <w:kinsoku/>
        <w:wordWrap/>
        <w:overflowPunct/>
        <w:topLinePunct w:val="0"/>
        <w:bidi w:val="0"/>
        <w:adjustRightInd/>
        <w:snapToGrid/>
        <w:spacing w:line="360" w:lineRule="auto"/>
        <w:ind w:leftChars="300"/>
        <w:textAlignment w:val="auto"/>
        <w:outlineLvl w:val="2"/>
        <w:rPr>
          <w:rFonts w:hint="default" w:ascii="Times New Roman Regular" w:hAnsi="Times New Roman Regular" w:eastAsia="仿宋_GB2312" w:cs="Times New Roman Regular"/>
          <w:color w:val="000000"/>
          <w:kern w:val="0"/>
          <w:sz w:val="32"/>
          <w:szCs w:val="32"/>
          <w:highlight w:val="none"/>
          <w:lang w:val="en-US" w:eastAsia="zh-CN"/>
        </w:rPr>
      </w:pPr>
      <w:bookmarkStart w:id="15" w:name="_Toc21799"/>
      <w:r>
        <w:rPr>
          <w:rFonts w:hint="default" w:ascii="Times New Roman Regular" w:hAnsi="Times New Roman Regular" w:eastAsia="仿宋_GB2312" w:cs="Times New Roman Regular"/>
          <w:color w:val="000000"/>
          <w:kern w:val="0"/>
          <w:sz w:val="32"/>
          <w:szCs w:val="32"/>
          <w:highlight w:val="none"/>
          <w:lang w:val="en-US" w:eastAsia="zh-CN"/>
        </w:rPr>
        <w:t>4.产出成本</w:t>
      </w:r>
      <w:bookmarkEnd w:id="15"/>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2023年北京市供销合作总社及其下属单位共有项目22个，预算批复资金为2,321.615195万元，资金支出2,238.447901万元，在项目预算批复范围内，成本控制程度高。</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16" w:name="_Toc9913"/>
      <w:r>
        <w:rPr>
          <w:rFonts w:hint="default" w:ascii="Times New Roman Regular" w:hAnsi="Times New Roman Regular" w:eastAsia="楷体_GB2312" w:cs="Times New Roman Regular"/>
          <w:sz w:val="32"/>
          <w:szCs w:val="32"/>
          <w:highlight w:val="none"/>
        </w:rPr>
        <w:t>（二）效果实现情况分析</w:t>
      </w:r>
      <w:bookmarkEnd w:id="16"/>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17" w:name="_Toc562"/>
      <w:r>
        <w:rPr>
          <w:rFonts w:hint="default" w:ascii="Times New Roman Regular" w:hAnsi="Times New Roman Regular" w:eastAsia="仿宋_GB2312" w:cs="Times New Roman Regular"/>
          <w:color w:val="000000"/>
          <w:kern w:val="0"/>
          <w:sz w:val="32"/>
          <w:szCs w:val="32"/>
          <w:highlight w:val="none"/>
          <w:lang w:val="en-US" w:eastAsia="zh-CN"/>
        </w:rPr>
        <w:t>1</w:t>
      </w:r>
      <w:r>
        <w:rPr>
          <w:rFonts w:hint="default" w:ascii="Times New Roman Regular" w:hAnsi="Times New Roman Regular" w:eastAsia="仿宋_GB2312" w:cs="Times New Roman Regular"/>
          <w:color w:val="000000"/>
          <w:kern w:val="0"/>
          <w:sz w:val="32"/>
          <w:szCs w:val="32"/>
          <w:highlight w:val="none"/>
        </w:rPr>
        <w:t>.社会效益</w:t>
      </w:r>
      <w:bookmarkEnd w:id="17"/>
    </w:p>
    <w:p>
      <w:pPr>
        <w:pStyle w:val="2"/>
        <w:keepNext w:val="0"/>
        <w:keepLines w:val="0"/>
        <w:pageBreakBefore w:val="0"/>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（1）推进供销社改革发展。北京市供销合作总社本级按时间节点控制定额补助进度，符合财政支出政策方向，履行了总社的社会责任，增强了北京市供销合作总社的社会服务能力。</w:t>
      </w:r>
    </w:p>
    <w:p>
      <w:pPr>
        <w:pStyle w:val="2"/>
        <w:keepNext w:val="0"/>
        <w:keepLines w:val="0"/>
        <w:pageBreakBefore w:val="0"/>
        <w:kinsoku/>
        <w:wordWrap/>
        <w:overflowPunct/>
        <w:topLinePunct w:val="0"/>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（2）改善学校办学条件。通过修缮改造、家具购置及消防工程等项目建设，改善了师生的学习和住宿环境，促进了学校的发展，提高了学校办学质量。</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3）提升教育教学能力。通过教育教学类项目建设，提升了专业教育教学能力和学生的专业素质水平，为学生成长成才提供了更多更好的发展机会，对接了首都经济社会发展和产业转型升级需要，培养了高端技术技能人才，进而提升了学校的整体的建设水平。</w:t>
      </w:r>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（4）提升公共服务能力。通过实施机构运行项目，夯实了履职基础，提升了公共服务能力。</w:t>
      </w:r>
    </w:p>
    <w:p>
      <w:pPr>
        <w:pStyle w:val="2"/>
        <w:keepNext w:val="0"/>
        <w:keepLines w:val="0"/>
        <w:pageBreakBefore w:val="0"/>
        <w:kinsoku/>
        <w:wordWrap/>
        <w:overflowPunct/>
        <w:topLinePunct w:val="0"/>
        <w:bidi w:val="0"/>
        <w:adjustRightInd/>
        <w:snapToGrid/>
        <w:spacing w:line="360" w:lineRule="auto"/>
        <w:ind w:firstLine="640" w:firstLineChars="200"/>
        <w:textAlignment w:val="auto"/>
        <w:rPr>
          <w:rFonts w:hint="default" w:ascii="Times New Roman Regular" w:hAnsi="Times New Roman Regular" w:cs="Times New Roman Regular"/>
          <w:highlight w:val="none"/>
        </w:rPr>
      </w:pPr>
      <w:r>
        <w:rPr>
          <w:rFonts w:hint="default" w:ascii="Times New Roman Regular" w:hAnsi="Times New Roman Regular" w:eastAsia="仿宋" w:cs="Times New Roman Regular"/>
          <w:color w:val="auto"/>
          <w:kern w:val="0"/>
          <w:sz w:val="32"/>
          <w:szCs w:val="32"/>
          <w:highlight w:val="none"/>
          <w:lang w:val="en-US" w:eastAsia="zh-CN" w:bidi="ar-SA"/>
        </w:rPr>
        <w:t>（5）落实学生资助工作。按上级相关政策及文件要求足额向受资助学生发放助学金与补贴，满足了建档立卡贫困家庭学生、特困供养学生、事实无人抚养儿童、领取生活困难补助金的重残学生及重残人子女、领取生活困难补助金对象及其子女、烈士子女、因公牺牲民警子女、低收入农户学生、残疾学生、残疾人子女的资助要求。</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18" w:name="_Toc16868"/>
      <w:r>
        <w:rPr>
          <w:rFonts w:hint="default" w:ascii="Times New Roman Regular" w:hAnsi="Times New Roman Regular" w:eastAsia="仿宋_GB2312" w:cs="Times New Roman Regular"/>
          <w:color w:val="000000"/>
          <w:kern w:val="0"/>
          <w:sz w:val="32"/>
          <w:szCs w:val="32"/>
          <w:highlight w:val="none"/>
          <w:lang w:val="en-US" w:eastAsia="zh-CN"/>
        </w:rPr>
        <w:t>2</w:t>
      </w:r>
      <w:r>
        <w:rPr>
          <w:rFonts w:hint="default" w:ascii="Times New Roman Regular" w:hAnsi="Times New Roman Regular" w:eastAsia="仿宋_GB2312" w:cs="Times New Roman Regular"/>
          <w:color w:val="000000"/>
          <w:kern w:val="0"/>
          <w:sz w:val="32"/>
          <w:szCs w:val="32"/>
          <w:highlight w:val="none"/>
        </w:rPr>
        <w:t>.服务对象满意度</w:t>
      </w:r>
      <w:bookmarkEnd w:id="18"/>
    </w:p>
    <w:p>
      <w:pPr>
        <w:pStyle w:val="2"/>
        <w:keepNext w:val="0"/>
        <w:keepLines w:val="0"/>
        <w:pageBreakBefore w:val="0"/>
        <w:kinsoku/>
        <w:wordWrap/>
        <w:overflowPunct/>
        <w:topLinePunct w:val="0"/>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北京市供销合作总社重视满意度调查工作，设计了满意度调查问卷，各项目满意度达90%以上；但部分项目未单独设置满意度调查问卷，设计科学性与结果合理性有待进一步提高。</w:t>
      </w:r>
    </w:p>
    <w:p>
      <w:pPr>
        <w:keepNext w:val="0"/>
        <w:keepLines w:val="0"/>
        <w:pageBreakBefore w:val="0"/>
        <w:kinsoku/>
        <w:wordWrap/>
        <w:overflowPunct/>
        <w:topLinePunct w:val="0"/>
        <w:bidi w:val="0"/>
        <w:adjustRightInd/>
        <w:snapToGrid/>
        <w:spacing w:line="360" w:lineRule="auto"/>
        <w:ind w:left="105" w:leftChars="50" w:firstLine="480" w:firstLineChars="150"/>
        <w:textAlignment w:val="auto"/>
        <w:outlineLvl w:val="0"/>
        <w:rPr>
          <w:rFonts w:hint="default" w:ascii="Times New Roman Regular" w:hAnsi="Times New Roman Regular" w:eastAsia="黑体" w:cs="Times New Roman Regular"/>
          <w:color w:val="000000"/>
          <w:kern w:val="0"/>
          <w:sz w:val="32"/>
          <w:szCs w:val="32"/>
          <w:highlight w:val="none"/>
        </w:rPr>
      </w:pPr>
      <w:bookmarkStart w:id="19" w:name="_Toc1127"/>
      <w:r>
        <w:rPr>
          <w:rFonts w:hint="default" w:ascii="Times New Roman Regular" w:hAnsi="Times New Roman Regular" w:eastAsia="黑体" w:cs="Times New Roman Regular"/>
          <w:color w:val="000000"/>
          <w:kern w:val="0"/>
          <w:sz w:val="32"/>
          <w:szCs w:val="32"/>
          <w:highlight w:val="none"/>
        </w:rPr>
        <w:t>四、预算管理情况分析</w:t>
      </w:r>
      <w:bookmarkEnd w:id="19"/>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20" w:name="_Toc4167"/>
      <w:r>
        <w:rPr>
          <w:rFonts w:hint="default" w:ascii="Times New Roman Regular" w:hAnsi="Times New Roman Regular" w:eastAsia="楷体_GB2312" w:cs="Times New Roman Regular"/>
          <w:sz w:val="32"/>
          <w:szCs w:val="32"/>
          <w:highlight w:val="none"/>
        </w:rPr>
        <w:t>（一）财务管理</w:t>
      </w:r>
      <w:bookmarkEnd w:id="20"/>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21" w:name="_Toc10720"/>
      <w:r>
        <w:rPr>
          <w:rFonts w:hint="default" w:ascii="Times New Roman Regular" w:hAnsi="Times New Roman Regular" w:eastAsia="仿宋_GB2312" w:cs="Times New Roman Regular"/>
          <w:color w:val="000000"/>
          <w:kern w:val="0"/>
          <w:sz w:val="32"/>
          <w:szCs w:val="32"/>
          <w:highlight w:val="none"/>
        </w:rPr>
        <w:t>1.财务管理制度健全性</w:t>
      </w:r>
      <w:bookmarkEnd w:id="21"/>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_GB2312" w:cs="Times New Roman Regular"/>
          <w:sz w:val="32"/>
          <w:szCs w:val="32"/>
          <w:highlight w:val="none"/>
          <w:lang w:val="en-US" w:eastAsia="zh-CN"/>
        </w:rPr>
      </w:pPr>
      <w:r>
        <w:rPr>
          <w:rFonts w:hint="default" w:ascii="Times New Roman Regular" w:hAnsi="Times New Roman Regular" w:eastAsia="仿宋_GB2312" w:cs="Times New Roman Regular"/>
          <w:sz w:val="32"/>
          <w:szCs w:val="32"/>
          <w:highlight w:val="none"/>
        </w:rPr>
        <w:t>为进一步提高财务管理能力和水平，提高财政资金使用效益</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lang w:val="en-US" w:eastAsia="zh-CN"/>
        </w:rPr>
        <w:t>北京市供销合作总社按照《市级部门预算编报指南》，编制了《项目管理制度》（供销经贸财发〔2022〕222号）</w:t>
      </w:r>
      <w:r>
        <w:rPr>
          <w:rFonts w:hint="default"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费用支出管理办法</w:t>
      </w:r>
      <w:r>
        <w:rPr>
          <w:rFonts w:hint="default" w:ascii="Times New Roman Regular" w:hAnsi="Times New Roman Regular" w:eastAsia="仿宋_GB2312" w:cs="Times New Roman Regular"/>
          <w:sz w:val="32"/>
          <w:szCs w:val="32"/>
          <w:highlight w:val="none"/>
          <w:lang w:val="en-US" w:eastAsia="zh-CN"/>
        </w:rPr>
        <w:t>》（</w:t>
      </w:r>
      <w:r>
        <w:rPr>
          <w:rFonts w:hint="default" w:ascii="Times New Roman Regular" w:hAnsi="Times New Roman Regular" w:eastAsia="仿宋_GB2312" w:cs="Times New Roman Regular"/>
          <w:sz w:val="32"/>
          <w:szCs w:val="32"/>
          <w:highlight w:val="none"/>
          <w:lang w:val="en-US" w:eastAsia="zh-CN"/>
        </w:rPr>
        <w:t>供销经贸财发〔2022〕243号</w:t>
      </w:r>
      <w:r>
        <w:rPr>
          <w:rFonts w:hint="default" w:ascii="Times New Roman Regular" w:hAnsi="Times New Roman Regular" w:eastAsia="仿宋_GB2312" w:cs="Times New Roman Regular"/>
          <w:sz w:val="32"/>
          <w:szCs w:val="32"/>
          <w:highlight w:val="none"/>
          <w:lang w:val="en-US" w:eastAsia="zh-CN"/>
        </w:rPr>
        <w:t xml:space="preserve">）、 </w:t>
      </w:r>
      <w:r>
        <w:rPr>
          <w:rFonts w:hint="default" w:ascii="Times New Roman Regular" w:hAnsi="Times New Roman Regular" w:eastAsia="仿宋_GB2312" w:cs="Times New Roman Regular"/>
          <w:sz w:val="32"/>
          <w:szCs w:val="32"/>
          <w:highlight w:val="none"/>
          <w:lang w:val="en-US" w:eastAsia="zh-CN"/>
        </w:rPr>
        <w:t>《北京市供销合作总社所属事业单位资产处置管理办法》（京供销财发〔2022〕221号）等文件，</w:t>
      </w:r>
      <w:r>
        <w:rPr>
          <w:rFonts w:hint="default" w:ascii="Times New Roman Regular" w:hAnsi="Times New Roman Regular" w:eastAsia="仿宋_GB2312" w:cs="Times New Roman Regular"/>
          <w:sz w:val="32"/>
          <w:szCs w:val="32"/>
          <w:highlight w:val="none"/>
        </w:rPr>
        <w:t>建立了完善的财务管理制度体系</w:t>
      </w:r>
      <w:r>
        <w:rPr>
          <w:rFonts w:hint="default" w:ascii="Times New Roman Regular" w:hAnsi="Times New Roman Regular" w:eastAsia="仿宋_GB2312" w:cs="Times New Roman Regular"/>
          <w:sz w:val="32"/>
          <w:szCs w:val="32"/>
          <w:highlight w:val="none"/>
          <w:lang w:eastAsia="zh-CN"/>
        </w:rPr>
        <w:t>，</w:t>
      </w:r>
      <w:r>
        <w:rPr>
          <w:rFonts w:hint="default" w:ascii="Times New Roman Regular" w:hAnsi="Times New Roman Regular" w:eastAsia="仿宋_GB2312" w:cs="Times New Roman Regular"/>
          <w:sz w:val="32"/>
          <w:szCs w:val="32"/>
          <w:highlight w:val="none"/>
          <w:lang w:val="en-US" w:eastAsia="zh-CN"/>
        </w:rPr>
        <w:t>保障了日常工作有章可循、稳步推进。</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2"/>
        <w:rPr>
          <w:rFonts w:hint="default" w:ascii="Times New Roman Regular" w:hAnsi="Times New Roman Regular" w:eastAsia="仿宋_GB2312" w:cs="Times New Roman Regular"/>
          <w:color w:val="000000"/>
          <w:kern w:val="0"/>
          <w:sz w:val="32"/>
          <w:szCs w:val="32"/>
          <w:highlight w:val="none"/>
        </w:rPr>
      </w:pPr>
      <w:bookmarkStart w:id="22" w:name="_Toc16151"/>
      <w:r>
        <w:rPr>
          <w:rFonts w:hint="default" w:ascii="Times New Roman Regular" w:hAnsi="Times New Roman Regular" w:eastAsia="仿宋_GB2312" w:cs="Times New Roman Regular"/>
          <w:color w:val="000000"/>
          <w:kern w:val="0"/>
          <w:sz w:val="32"/>
          <w:szCs w:val="32"/>
          <w:highlight w:val="none"/>
          <w:lang w:val="en-US" w:eastAsia="zh-CN"/>
        </w:rPr>
        <w:t>2.</w:t>
      </w:r>
      <w:r>
        <w:rPr>
          <w:rFonts w:hint="default" w:ascii="Times New Roman Regular" w:hAnsi="Times New Roman Regular" w:eastAsia="仿宋_GB2312" w:cs="Times New Roman Regular"/>
          <w:color w:val="000000"/>
          <w:kern w:val="0"/>
          <w:sz w:val="32"/>
          <w:szCs w:val="32"/>
          <w:highlight w:val="none"/>
        </w:rPr>
        <w:t>资金使用合规性和安全性</w:t>
      </w:r>
      <w:bookmarkEnd w:id="22"/>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资金使用严格遵照国家法律法规和有关管理制度执行，资金拨付审批程序完整规范，资金使用安全合规。内部审计和监督机制完善，审计监督全面、纵深发展，为资金高效安全的使用保驾护航。</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2"/>
        <w:rPr>
          <w:rFonts w:hint="default" w:ascii="Times New Roman Regular" w:hAnsi="Times New Roman Regular" w:eastAsia="仿宋_GB2312" w:cs="Times New Roman Regular"/>
          <w:color w:val="000000"/>
          <w:kern w:val="0"/>
          <w:sz w:val="32"/>
          <w:szCs w:val="32"/>
          <w:highlight w:val="none"/>
          <w:lang w:val="en-US" w:eastAsia="zh-CN"/>
        </w:rPr>
      </w:pPr>
      <w:bookmarkStart w:id="23" w:name="_Toc19553"/>
      <w:r>
        <w:rPr>
          <w:rFonts w:hint="default" w:ascii="Times New Roman Regular" w:hAnsi="Times New Roman Regular" w:eastAsia="仿宋_GB2312" w:cs="Times New Roman Regular"/>
          <w:color w:val="000000"/>
          <w:kern w:val="0"/>
          <w:sz w:val="32"/>
          <w:szCs w:val="32"/>
          <w:highlight w:val="none"/>
          <w:lang w:val="en-US" w:eastAsia="zh-CN"/>
        </w:rPr>
        <w:t>3.会计基础信息完善性</w:t>
      </w:r>
      <w:bookmarkEnd w:id="23"/>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在费用报销及合同付款过程中，严格审核原始凭证，确保了会计基础信息真实、准确、完整。</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24" w:name="_Toc9444"/>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lang w:val="en-US" w:eastAsia="zh-CN"/>
        </w:rPr>
        <w:t>二</w:t>
      </w:r>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rPr>
        <w:t>资产管理</w:t>
      </w:r>
      <w:bookmarkEnd w:id="24"/>
    </w:p>
    <w:p>
      <w:pPr>
        <w:pStyle w:val="5"/>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color w:val="auto"/>
          <w:kern w:val="0"/>
          <w:sz w:val="32"/>
          <w:szCs w:val="32"/>
          <w:highlight w:val="none"/>
          <w:lang w:val="en-US" w:eastAsia="zh-CN" w:bidi="ar-SA"/>
        </w:rPr>
      </w:pPr>
      <w:r>
        <w:rPr>
          <w:rFonts w:hint="default" w:ascii="Times New Roman Regular" w:hAnsi="Times New Roman Regular" w:eastAsia="仿宋" w:cs="Times New Roman Regular"/>
          <w:color w:val="auto"/>
          <w:kern w:val="0"/>
          <w:sz w:val="32"/>
          <w:szCs w:val="32"/>
          <w:highlight w:val="none"/>
          <w:lang w:val="en-US" w:eastAsia="zh-CN" w:bidi="ar-SA"/>
        </w:rPr>
        <w:t>为进一步提升资产管理水平，北京市供销合作总社制定了《办公设备配置管理制度》《存货管理制度》《固定资产管理办法》《实训室管理制度》《无形资产管理办法》等制度，细化了具体工作程序和标准；同时建立了资产与预算管理相结合的工作运行机制，编制资产购置指南，强化资产购置预算管理能力。</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lang w:eastAsia="zh-CN"/>
        </w:rPr>
      </w:pPr>
      <w:bookmarkStart w:id="25" w:name="_Toc9386"/>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lang w:val="en-US" w:eastAsia="zh-CN"/>
        </w:rPr>
        <w:t>三</w:t>
      </w:r>
      <w:r>
        <w:rPr>
          <w:rFonts w:hint="default" w:ascii="Times New Roman Regular" w:hAnsi="Times New Roman Regular" w:eastAsia="楷体_GB2312" w:cs="Times New Roman Regular"/>
          <w:sz w:val="32"/>
          <w:szCs w:val="32"/>
          <w:highlight w:val="none"/>
          <w:lang w:eastAsia="zh-CN"/>
        </w:rPr>
        <w:t>）绩效管理</w:t>
      </w:r>
      <w:bookmarkEnd w:id="25"/>
    </w:p>
    <w:p>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default" w:ascii="Times New Roman Regular" w:hAnsi="Times New Roman Regular" w:eastAsia="仿宋" w:cs="Times New Roman Regular"/>
          <w:highlight w:val="yellow"/>
        </w:rPr>
      </w:pPr>
      <w:r>
        <w:rPr>
          <w:rFonts w:hint="default" w:ascii="Times New Roman Regular" w:hAnsi="Times New Roman Regular" w:eastAsia="仿宋" w:cs="Times New Roman Regular"/>
          <w:color w:val="000000"/>
          <w:sz w:val="32"/>
          <w:szCs w:val="32"/>
          <w:highlight w:val="none"/>
          <w:lang w:val="en-US" w:eastAsia="zh-CN"/>
        </w:rPr>
        <w:t>北京市供销合作总社</w:t>
      </w:r>
      <w:r>
        <w:rPr>
          <w:rFonts w:hint="default" w:ascii="Times New Roman Regular" w:hAnsi="Times New Roman Regular" w:eastAsia="仿宋" w:cs="Times New Roman Regular"/>
          <w:color w:val="000000"/>
          <w:sz w:val="32"/>
          <w:szCs w:val="32"/>
          <w:highlight w:val="none"/>
        </w:rPr>
        <w:t>将绩效理念深度融入预算编制、执行和监督全过程，构建事前、事中、事后绩效管理闭环系统，创新预算管理方式，扎实做好各项绩效管理工作。</w:t>
      </w:r>
      <w:r>
        <w:rPr>
          <w:rFonts w:hint="default" w:ascii="Times New Roman Regular" w:hAnsi="Times New Roman Regular" w:eastAsia="仿宋" w:cs="Times New Roman Regular"/>
          <w:color w:val="000000"/>
          <w:sz w:val="32"/>
          <w:szCs w:val="32"/>
          <w:highlight w:val="none"/>
          <w:lang w:val="en-US" w:eastAsia="zh-CN"/>
        </w:rPr>
        <w:t>在</w:t>
      </w:r>
      <w:r>
        <w:rPr>
          <w:rFonts w:hint="default" w:ascii="Times New Roman Regular" w:hAnsi="Times New Roman Regular" w:eastAsia="仿宋" w:cs="Times New Roman Regular"/>
          <w:sz w:val="32"/>
          <w:szCs w:val="32"/>
          <w:highlight w:val="none"/>
          <w:lang w:val="en-US" w:eastAsia="zh-CN"/>
        </w:rPr>
        <w:t>《市级部门预算编报指南》的指导下，总社开展绩效目标编制、事中绩效监控及事后自评等工作，统筹预算绩效管理工作的全流程</w:t>
      </w:r>
      <w:r>
        <w:rPr>
          <w:rFonts w:hint="default" w:ascii="Times New Roman Regular" w:hAnsi="Times New Roman Regular" w:eastAsia="仿宋" w:cs="Times New Roman Regular"/>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lang w:eastAsia="zh-CN"/>
        </w:rPr>
      </w:pPr>
      <w:bookmarkStart w:id="26" w:name="_Toc10774"/>
      <w:r>
        <w:rPr>
          <w:rFonts w:hint="default" w:ascii="Times New Roman Regular" w:hAnsi="Times New Roman Regular" w:eastAsia="楷体_GB2312" w:cs="Times New Roman Regular"/>
          <w:sz w:val="32"/>
          <w:szCs w:val="32"/>
          <w:highlight w:val="none"/>
          <w:lang w:eastAsia="zh-CN"/>
        </w:rPr>
        <w:t>（四）结转结余率</w:t>
      </w:r>
      <w:bookmarkEnd w:id="26"/>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北京市供销合作总社2023年结转结余总额为321.679438万元，支出预算数为10,562.844411万元，结转结余率为3.05%。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北京市供销合作总社本级2023年结转结余总额为0万元，支出预算数为290万元，结转结余率为0%。</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北京市经贸高级技术学校2023年结转结余总额为108.203596万元，支出预算数为5,632.296281万元，结转结余率为1.92%</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北京市供销学校2023年结转结余总额为170.345515万元，支出预算数为3,372.387225万元，结转结余率为5.05%。</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北京市供销干部学校2023年结转结余总额为43.130327万元，支出预算数为1,268.160905万元，结转结余率为3.40%。</w:t>
      </w:r>
    </w:p>
    <w:p>
      <w:pPr>
        <w:pStyle w:val="5"/>
        <w:ind w:left="0" w:leftChars="0" w:firstLine="0" w:firstLineChars="0"/>
        <w:jc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表5</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2023年结转结余情况表</w:t>
      </w:r>
    </w:p>
    <w:p>
      <w:pPr>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tbl>
      <w:tblPr>
        <w:tblStyle w:val="12"/>
        <w:tblW w:w="849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01"/>
        <w:gridCol w:w="1984"/>
        <w:gridCol w:w="1982"/>
        <w:gridCol w:w="1132"/>
      </w:tblGrid>
      <w:tr>
        <w:trPr>
          <w:trHeight w:val="56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结转结余总额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结余率</w:t>
            </w:r>
          </w:p>
        </w:tc>
      </w:tr>
      <w:tr>
        <w:trPr>
          <w:trHeight w:val="56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北京市供销合作总社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321.679438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10,562.844411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3.05%</w:t>
            </w:r>
          </w:p>
        </w:tc>
      </w:tr>
      <w:tr>
        <w:trPr>
          <w:trHeight w:val="56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290</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r>
      <w:tr>
        <w:trPr>
          <w:trHeight w:val="56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经贸高级技术学校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108.203596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5,632.296281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1.92%</w:t>
            </w:r>
          </w:p>
        </w:tc>
      </w:tr>
      <w:tr>
        <w:trPr>
          <w:trHeight w:val="564"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170.345515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3,372.387225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5.05%</w:t>
            </w:r>
          </w:p>
        </w:tc>
      </w:tr>
      <w:tr>
        <w:trPr>
          <w:trHeight w:val="622"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供销干部学校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43.130327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 xml:space="preserve">1,268.160905 </w:t>
            </w:r>
          </w:p>
        </w:tc>
        <w:tc>
          <w:tcPr>
            <w:tcW w:w="11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3.40%</w:t>
            </w:r>
          </w:p>
        </w:tc>
      </w:tr>
    </w:tbl>
    <w:p>
      <w:pPr>
        <w:keepNext w:val="0"/>
        <w:keepLines w:val="0"/>
        <w:pageBreakBefore w:val="0"/>
        <w:widowControl w:val="0"/>
        <w:kinsoku/>
        <w:wordWrap/>
        <w:overflowPunct/>
        <w:topLinePunct w:val="0"/>
        <w:autoSpaceDE/>
        <w:autoSpaceDN/>
        <w:bidi w:val="0"/>
        <w:adjustRightInd/>
        <w:snapToGrid/>
        <w:spacing w:before="157" w:beforeLines="50" w:line="360" w:lineRule="auto"/>
        <w:jc w:val="center"/>
        <w:textAlignment w:val="auto"/>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表6</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2022年结转结余情况表</w:t>
      </w:r>
    </w:p>
    <w:p>
      <w:pPr>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p>
      <w:pPr>
        <w:pStyle w:val="5"/>
        <w:rPr>
          <w:rFonts w:hint="default" w:ascii="Times New Roman Regular" w:hAnsi="Times New Roman Regular" w:cs="Times New Roman Regular"/>
          <w:highlight w:val="none"/>
          <w:lang w:val="en-US" w:eastAsia="zh-CN"/>
        </w:rPr>
      </w:pPr>
    </w:p>
    <w:tbl>
      <w:tblPr>
        <w:tblStyle w:val="12"/>
        <w:tblW w:w="851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67"/>
        <w:gridCol w:w="2023"/>
        <w:gridCol w:w="1876"/>
        <w:gridCol w:w="1153"/>
      </w:tblGrid>
      <w:tr>
        <w:trPr>
          <w:trHeight w:val="5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结转结余总额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全年预算数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结余率</w:t>
            </w:r>
          </w:p>
        </w:tc>
      </w:tr>
      <w:tr>
        <w:trPr>
          <w:trHeight w:val="5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北京市供销合作总社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427.715667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10,677.43763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4.01%</w:t>
            </w:r>
          </w:p>
        </w:tc>
      </w:tr>
      <w:tr>
        <w:trPr>
          <w:trHeight w:val="5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r>
      <w:tr>
        <w:trPr>
          <w:trHeight w:val="5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经贸高级技术学校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208.315246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6,157.864499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3.38%</w:t>
            </w:r>
          </w:p>
        </w:tc>
      </w:tr>
      <w:tr>
        <w:trPr>
          <w:trHeight w:val="565"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供销学校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128.080184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2,978.712973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4.30%</w:t>
            </w:r>
          </w:p>
        </w:tc>
      </w:tr>
      <w:tr>
        <w:trPr>
          <w:trHeight w:val="623"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lef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供销干部学校</w:t>
            </w:r>
          </w:p>
        </w:tc>
        <w:tc>
          <w:tcPr>
            <w:tcW w:w="0" w:type="auto"/>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91.320237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1,250.860162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7.30%</w:t>
            </w:r>
          </w:p>
        </w:tc>
      </w:tr>
    </w:tbl>
    <w:p>
      <w:pPr>
        <w:pStyle w:val="2"/>
        <w:keepNext w:val="0"/>
        <w:keepLines w:val="0"/>
        <w:pageBreakBefore w:val="0"/>
        <w:widowControl/>
        <w:kinsoku/>
        <w:wordWrap/>
        <w:overflowPunct/>
        <w:topLinePunct w:val="0"/>
        <w:autoSpaceDE w:val="0"/>
        <w:autoSpaceDN w:val="0"/>
        <w:bidi w:val="0"/>
        <w:adjustRightInd w:val="0"/>
        <w:snapToGrid w:val="0"/>
        <w:spacing w:before="313" w:beforeLines="100" w:line="360" w:lineRule="auto"/>
        <w:ind w:left="0" w:leftChars="0" w:firstLine="640" w:firstLineChars="200"/>
        <w:textAlignment w:val="auto"/>
        <w:rPr>
          <w:rFonts w:hint="default" w:ascii="Times New Roman Regular" w:hAnsi="Times New Roman Regular" w:cs="Times New Roman Regular"/>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北京市供销合作总社2023年结转结余率较2022年结转结余率下降0.96%，主要原因是下属各单位预算执行率较2022年均有提高。</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lang w:eastAsia="zh-CN"/>
        </w:rPr>
      </w:pPr>
      <w:bookmarkStart w:id="27" w:name="_Toc27014"/>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lang w:val="en-US" w:eastAsia="zh-CN"/>
        </w:rPr>
        <w:t>五</w:t>
      </w:r>
      <w:r>
        <w:rPr>
          <w:rFonts w:hint="default" w:ascii="Times New Roman Regular" w:hAnsi="Times New Roman Regular" w:eastAsia="楷体_GB2312" w:cs="Times New Roman Regular"/>
          <w:sz w:val="32"/>
          <w:szCs w:val="32"/>
          <w:highlight w:val="none"/>
          <w:lang w:eastAsia="zh-CN"/>
        </w:rPr>
        <w:t>）部门预决算差异率</w:t>
      </w:r>
      <w:bookmarkEnd w:id="27"/>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北京市供销合作总社2023年部门整体年初预算数为11,015.856615万元，决算支出数为10,241.164973万元，预决算差异率为-7.03%</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北京市供销合作总社本级2023年年初预算数为290万元，决算支出数为290万元，预决算差异率为0%</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北京市经贸高级技术学校2023年年初预算数为5,959.275733万元，决算支出数为5,524.092685万元，预决算差异率为-7.30%。</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北京市供销学校2023年年初预算数为3,479.746799万元，决算支出数为3,202.04171万元，预决算差异率为-7.98%。</w:t>
      </w:r>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北京市供销干部学校2023年年初预算数为1,286.834083万元，决算支出数为1,225.030578万元，预决算差异率为-4.80%。</w:t>
      </w:r>
    </w:p>
    <w:p>
      <w:pPr>
        <w:pStyle w:val="5"/>
        <w:ind w:left="0" w:leftChars="0" w:firstLine="0" w:firstLineChars="0"/>
        <w:jc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表7</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2023年预决算差异率情况表</w:t>
      </w:r>
    </w:p>
    <w:p>
      <w:pPr>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tbl>
      <w:tblPr>
        <w:tblStyle w:val="12"/>
        <w:tblW w:w="847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61"/>
        <w:gridCol w:w="1932"/>
        <w:gridCol w:w="2028"/>
        <w:gridCol w:w="1757"/>
      </w:tblGrid>
      <w:tr>
        <w:trPr>
          <w:trHeight w:val="524" w:hRule="exact"/>
          <w:tblHeader/>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lang w:val="en-US"/>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年初预算支出</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决算支出</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预决算差异率</w:t>
            </w:r>
          </w:p>
        </w:tc>
      </w:tr>
      <w:tr>
        <w:trPr>
          <w:trHeight w:val="524" w:hRule="exac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b w:val="0"/>
                <w:bCs w:val="0"/>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总社</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11,015.856615</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10,241.164973</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-7.03%</w:t>
            </w:r>
          </w:p>
        </w:tc>
      </w:tr>
      <w:tr>
        <w:trPr>
          <w:trHeight w:val="524" w:hRule="exac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290</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290</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r>
      <w:tr>
        <w:trPr>
          <w:trHeight w:val="524" w:hRule="exac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经贸高级技术学校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5,959.28</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5,524.092685</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-7.30%</w:t>
            </w:r>
          </w:p>
        </w:tc>
      </w:tr>
      <w:tr>
        <w:trPr>
          <w:trHeight w:val="524" w:hRule="exac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供销学校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3,479.75</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3,202.04171</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-7.98%</w:t>
            </w:r>
          </w:p>
        </w:tc>
      </w:tr>
      <w:tr>
        <w:trPr>
          <w:trHeight w:val="554" w:hRule="exact"/>
        </w:trPr>
        <w:tc>
          <w:tcPr>
            <w:tcW w:w="27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供销干部学校</w:t>
            </w:r>
          </w:p>
        </w:tc>
        <w:tc>
          <w:tcPr>
            <w:tcW w:w="19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1,286.83</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1,225.030578</w:t>
            </w:r>
          </w:p>
        </w:tc>
        <w:tc>
          <w:tcPr>
            <w:tcW w:w="1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-4.80%</w:t>
            </w:r>
          </w:p>
        </w:tc>
      </w:tr>
    </w:tbl>
    <w:p>
      <w:pPr>
        <w:pStyle w:val="5"/>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firstLine="0" w:firstLineChars="0"/>
        <w:jc w:val="center"/>
        <w:textAlignment w:val="auto"/>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表8</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:2</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022年预决算差异率情况表</w:t>
      </w:r>
    </w:p>
    <w:p>
      <w:pPr>
        <w:jc w:val="right"/>
        <w:rPr>
          <w:rFonts w:hint="default" w:ascii="Times New Roman Regular" w:hAnsi="Times New Roman Regular" w:cs="Times New Roman Regular"/>
          <w:highlight w:val="none"/>
          <w:lang w:val="en-US" w:eastAsia="zh-CN"/>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单位：万元</w:t>
      </w:r>
    </w:p>
    <w:p>
      <w:pPr>
        <w:keepNext w:val="0"/>
        <w:keepLines w:val="0"/>
        <w:pageBreakBefore w:val="0"/>
        <w:kinsoku/>
        <w:wordWrap/>
        <w:overflowPunct/>
        <w:topLinePunct w:val="0"/>
        <w:autoSpaceDE/>
        <w:autoSpaceDN/>
        <w:bidi w:val="0"/>
        <w:adjustRightInd w:val="0"/>
        <w:snapToGrid w:val="0"/>
        <w:spacing w:line="240" w:lineRule="auto"/>
        <w:rPr>
          <w:rFonts w:hint="default" w:ascii="Times New Roman Regular" w:hAnsi="Times New Roman Regular" w:cs="Times New Roman Regular"/>
          <w:highlight w:val="none"/>
          <w:lang w:val="en-US" w:eastAsia="zh-CN"/>
        </w:rPr>
      </w:pPr>
    </w:p>
    <w:tbl>
      <w:tblPr>
        <w:tblStyle w:val="12"/>
        <w:tblW w:w="86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76"/>
        <w:gridCol w:w="1853"/>
        <w:gridCol w:w="1718"/>
        <w:gridCol w:w="1853"/>
      </w:tblGrid>
      <w:tr>
        <w:trPr>
          <w:trHeight w:val="478" w:hRule="exact"/>
          <w:tblHead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单位</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年初预算支出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决算支出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预决算差异率</w:t>
            </w:r>
          </w:p>
        </w:tc>
      </w:tr>
      <w:tr>
        <w:trPr>
          <w:trHeight w:val="478"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b w:val="0"/>
                <w:bCs w:val="0"/>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总社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10,187.14139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10,243.49437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0.55%</w:t>
            </w:r>
          </w:p>
        </w:tc>
      </w:tr>
      <w:tr>
        <w:trPr>
          <w:trHeight w:val="478"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北京市供销合作</w:t>
            </w: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总社本级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val="0"/>
              <w:snapToGrid w:val="0"/>
              <w:spacing w:line="240" w:lineRule="auto"/>
              <w:rPr>
                <w:rFonts w:hint="default" w:ascii="Times New Roman Regular" w:hAnsi="Times New Roman Regular" w:eastAsia="宋体" w:cs="Times New Roman Regular"/>
                <w:i w:val="0"/>
                <w:iCs w:val="0"/>
                <w:color w:val="000000"/>
                <w:sz w:val="22"/>
                <w:szCs w:val="22"/>
                <w:highlight w:val="none"/>
                <w:u w:val="none"/>
              </w:rPr>
            </w:pPr>
          </w:p>
        </w:tc>
      </w:tr>
      <w:tr>
        <w:trPr>
          <w:trHeight w:val="478"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经贸高级技术学校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6,249.966956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5,949.516409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-4.81%</w:t>
            </w:r>
          </w:p>
        </w:tc>
      </w:tr>
      <w:tr>
        <w:trPr>
          <w:trHeight w:val="478"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供销学校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2,785.44667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2,844.438031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2.12%</w:t>
            </w:r>
          </w:p>
        </w:tc>
      </w:tr>
      <w:tr>
        <w:trPr>
          <w:trHeight w:val="488" w:hRule="exac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center"/>
              <w:rPr>
                <w:rFonts w:hint="default" w:ascii="Times New Roman Regular" w:hAnsi="Times New Roman Regular" w:eastAsia="宋体" w:cs="Times New Roman Regular"/>
                <w:b w:val="0"/>
                <w:bCs w:val="0"/>
                <w:i w:val="0"/>
                <w:iCs w:val="0"/>
                <w:color w:val="000000"/>
                <w:sz w:val="22"/>
                <w:szCs w:val="22"/>
                <w:highlight w:val="none"/>
                <w:u w:val="none"/>
              </w:rPr>
            </w:pPr>
            <w:r>
              <w:rPr>
                <w:rFonts w:hint="default" w:ascii="Times New Roman Regular" w:hAnsi="Times New Roman Regular" w:cs="Times New Roman Regular"/>
                <w:i w:val="0"/>
                <w:iCs w:val="0"/>
                <w:color w:val="000000"/>
                <w:kern w:val="0"/>
                <w:sz w:val="22"/>
                <w:szCs w:val="22"/>
                <w:highlight w:val="none"/>
                <w:u w:val="none"/>
                <w:lang w:val="en-US" w:eastAsia="zh-CN" w:bidi="ar"/>
              </w:rPr>
              <w:t>北京市</w:t>
            </w:r>
            <w:r>
              <w:rPr>
                <w:rFonts w:hint="default" w:ascii="Times New Roman Regular" w:hAnsi="Times New Roman Regular" w:eastAsia="宋体" w:cs="Times New Roman Regular"/>
                <w:b w:val="0"/>
                <w:bCs w:val="0"/>
                <w:i w:val="0"/>
                <w:iCs w:val="0"/>
                <w:color w:val="000000"/>
                <w:kern w:val="0"/>
                <w:sz w:val="22"/>
                <w:szCs w:val="22"/>
                <w:highlight w:val="none"/>
                <w:u w:val="none"/>
                <w:lang w:val="en-US" w:eastAsia="zh-CN" w:bidi="ar"/>
              </w:rPr>
              <w:t>供销干部学校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1,151.727767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1,159.539925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jc w:val="right"/>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0.68%</w:t>
            </w:r>
          </w:p>
        </w:tc>
      </w:tr>
    </w:tbl>
    <w:p>
      <w:pPr>
        <w:pStyle w:val="2"/>
        <w:keepNext w:val="0"/>
        <w:keepLines w:val="0"/>
        <w:pageBreakBefore w:val="0"/>
        <w:kinsoku/>
        <w:wordWrap/>
        <w:overflowPunct/>
        <w:topLinePunct w:val="0"/>
        <w:bidi w:val="0"/>
        <w:spacing w:line="360" w:lineRule="auto"/>
        <w:rPr>
          <w:rFonts w:hint="default" w:ascii="Times New Roman Regular" w:hAnsi="Times New Roman Regular" w:eastAsia="仿宋" w:cs="Times New Roman Regular"/>
          <w:color w:val="auto"/>
          <w:kern w:val="0"/>
          <w:sz w:val="32"/>
          <w:szCs w:val="32"/>
          <w:highlight w:val="none"/>
          <w:lang w:val="en-US" w:eastAsia="zh-CN"/>
        </w:rPr>
      </w:pPr>
    </w:p>
    <w:p>
      <w:pPr>
        <w:pStyle w:val="2"/>
        <w:keepNext w:val="0"/>
        <w:keepLines w:val="0"/>
        <w:pageBreakBefore w:val="0"/>
        <w:kinsoku/>
        <w:wordWrap/>
        <w:overflowPunct/>
        <w:topLinePunct w:val="0"/>
        <w:bidi w:val="0"/>
        <w:spacing w:line="360" w:lineRule="auto"/>
        <w:rPr>
          <w:rFonts w:hint="default" w:ascii="Times New Roman Regular" w:hAnsi="Times New Roman Regular" w:eastAsia="仿宋_GB2312" w:cs="Times New Roman Regular"/>
          <w:color w:val="auto"/>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北京市供销合作总社2023年部门预决算差异率为-7.03%，低于2022年预决算差异率与</w:t>
      </w:r>
      <w:r>
        <w:rPr>
          <w:rFonts w:hint="default" w:ascii="Times New Roman Regular" w:hAnsi="Times New Roman Regular" w:eastAsia="仿宋_GB2312" w:cs="Times New Roman Regular"/>
          <w:color w:val="auto"/>
          <w:sz w:val="32"/>
          <w:szCs w:val="32"/>
          <w:highlight w:val="none"/>
        </w:rPr>
        <w:t>全市平均部门预决算差异率</w:t>
      </w:r>
      <w:r>
        <w:rPr>
          <w:rFonts w:hint="default" w:ascii="Times New Roman Regular" w:hAnsi="Times New Roman Regular" w:eastAsia="仿宋_GB2312" w:cs="Times New Roman Regular"/>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0"/>
        <w:rPr>
          <w:rFonts w:hint="default" w:ascii="Times New Roman Regular" w:hAnsi="Times New Roman Regular" w:eastAsia="黑体" w:cs="Times New Roman Regular"/>
          <w:sz w:val="32"/>
          <w:szCs w:val="32"/>
          <w:highlight w:val="none"/>
        </w:rPr>
      </w:pPr>
      <w:bookmarkStart w:id="28" w:name="_Toc25162"/>
      <w:r>
        <w:rPr>
          <w:rFonts w:hint="default" w:ascii="Times New Roman Regular" w:hAnsi="Times New Roman Regular" w:eastAsia="黑体" w:cs="Times New Roman Regular"/>
          <w:sz w:val="32"/>
          <w:szCs w:val="32"/>
          <w:highlight w:val="none"/>
        </w:rPr>
        <w:t>五、总体评价结论</w:t>
      </w:r>
      <w:bookmarkEnd w:id="28"/>
    </w:p>
    <w:p>
      <w:pPr>
        <w:keepNext w:val="0"/>
        <w:keepLines w:val="0"/>
        <w:pageBreakBefore w:val="0"/>
        <w:widowControl w:val="0"/>
        <w:kinsoku/>
        <w:wordWrap/>
        <w:overflowPunct/>
        <w:topLinePunct w:val="0"/>
        <w:autoSpaceDE/>
        <w:autoSpaceDN/>
        <w:bidi w:val="0"/>
        <w:adjustRightInd/>
        <w:snapToGrid/>
        <w:spacing w:line="360" w:lineRule="auto"/>
        <w:ind w:left="105" w:leftChars="50"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29" w:name="_Toc8240"/>
      <w:r>
        <w:rPr>
          <w:rFonts w:hint="default" w:ascii="Times New Roman Regular" w:hAnsi="Times New Roman Regular" w:eastAsia="楷体_GB2312" w:cs="Times New Roman Regular"/>
          <w:sz w:val="32"/>
          <w:szCs w:val="32"/>
          <w:highlight w:val="none"/>
        </w:rPr>
        <w:t>（一）评价得分情况</w:t>
      </w:r>
      <w:bookmarkEnd w:id="29"/>
    </w:p>
    <w:p>
      <w:pPr>
        <w:pStyle w:val="5"/>
        <w:keepNext w:val="0"/>
        <w:keepLines w:val="0"/>
        <w:pageBreakBefore w:val="0"/>
        <w:widowControl w:val="0"/>
        <w:kinsoku/>
        <w:wordWrap/>
        <w:overflowPunct/>
        <w:topLinePunct w:val="0"/>
        <w:autoSpaceDE/>
        <w:autoSpaceDN/>
        <w:bidi w:val="0"/>
        <w:adjustRightInd/>
        <w:snapToGrid/>
        <w:spacing w:after="157" w:afterLines="50"/>
        <w:ind w:left="0" w:leftChars="0" w:firstLine="0" w:firstLineChars="0"/>
        <w:jc w:val="center"/>
        <w:textAlignment w:val="auto"/>
        <w:rPr>
          <w:rFonts w:hint="default" w:ascii="Times New Roman Regular" w:hAnsi="Times New Roman Regular" w:cs="Times New Roman Regular"/>
          <w:highlight w:val="none"/>
        </w:rPr>
      </w:pPr>
      <w:r>
        <w:rPr>
          <w:rFonts w:hint="default" w:ascii="Times New Roman Regular" w:hAnsi="Times New Roman Regular" w:cs="Times New Roman Regular"/>
          <w:b/>
          <w:bCs/>
          <w:i w:val="0"/>
          <w:iCs w:val="0"/>
          <w:color w:val="000000"/>
          <w:kern w:val="0"/>
          <w:sz w:val="22"/>
          <w:szCs w:val="22"/>
          <w:highlight w:val="none"/>
          <w:u w:val="none"/>
          <w:lang w:val="en-US" w:eastAsia="zh-CN" w:bidi="ar"/>
        </w:rPr>
        <w:t>表9:</w:t>
      </w: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2023年部门整体绩效评价评分表</w:t>
      </w:r>
    </w:p>
    <w:tbl>
      <w:tblPr>
        <w:tblStyle w:val="12"/>
        <w:tblW w:w="86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47"/>
        <w:gridCol w:w="2477"/>
        <w:gridCol w:w="2895"/>
      </w:tblGrid>
      <w:tr>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一级指标</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分值</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sz w:val="22"/>
                <w:szCs w:val="22"/>
                <w:highlight w:val="none"/>
                <w:u w:val="none"/>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得分</w:t>
            </w:r>
          </w:p>
        </w:tc>
      </w:tr>
      <w:tr>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当年预算执行情况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19.39</w:t>
            </w:r>
          </w:p>
        </w:tc>
      </w:tr>
      <w:tr>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整体绩效目标实现情况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60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lang w:val="en-US"/>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5</w:t>
            </w:r>
            <w:r>
              <w:rPr>
                <w:rFonts w:hint="default" w:ascii="Times New Roman Regular" w:hAnsi="Times New Roman Regular" w:cs="Times New Roman Regular"/>
                <w:i w:val="0"/>
                <w:iCs w:val="0"/>
                <w:color w:val="000000"/>
                <w:kern w:val="0"/>
                <w:sz w:val="22"/>
                <w:szCs w:val="22"/>
                <w:highlight w:val="none"/>
                <w:u w:val="none"/>
                <w:lang w:val="en-US" w:eastAsia="zh-CN" w:bidi="ar"/>
              </w:rPr>
              <w:t>5.37</w:t>
            </w:r>
          </w:p>
        </w:tc>
      </w:tr>
      <w:tr>
        <w:trPr>
          <w:trHeight w:val="498"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预算管理情况</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rPr>
            </w:pPr>
            <w:r>
              <w:rPr>
                <w:rFonts w:hint="default" w:ascii="Times New Roman Regular" w:hAnsi="Times New Roman Regular" w:eastAsia="宋体" w:cs="Times New Roman Regular"/>
                <w:i w:val="0"/>
                <w:iCs w:val="0"/>
                <w:color w:val="000000"/>
                <w:kern w:val="0"/>
                <w:sz w:val="22"/>
                <w:szCs w:val="22"/>
                <w:highlight w:val="none"/>
                <w:u w:val="none"/>
                <w:lang w:val="en-US" w:eastAsia="zh-CN" w:bidi="ar"/>
              </w:rPr>
              <w:t>20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i w:val="0"/>
                <w:iCs w:val="0"/>
                <w:color w:val="000000"/>
                <w:sz w:val="22"/>
                <w:szCs w:val="22"/>
                <w:highlight w:val="none"/>
                <w:u w:val="none"/>
                <w:lang w:val="en-US"/>
              </w:rPr>
            </w:pPr>
            <w:r>
              <w:rPr>
                <w:rFonts w:hint="default" w:ascii="Times New Roman Regular" w:hAnsi="Times New Roman Regular" w:cs="Times New Roman Regular"/>
                <w:i w:val="0"/>
                <w:iCs w:val="0"/>
                <w:color w:val="000000"/>
                <w:kern w:val="0"/>
                <w:sz w:val="22"/>
                <w:szCs w:val="22"/>
                <w:highlight w:val="none"/>
                <w:u w:val="none"/>
                <w:lang w:val="en-US" w:eastAsia="zh-CN" w:bidi="ar"/>
              </w:rPr>
              <w:t>20</w:t>
            </w:r>
          </w:p>
        </w:tc>
      </w:tr>
      <w:tr>
        <w:trPr>
          <w:trHeight w:val="509" w:hRule="exact"/>
          <w:jc w:val="center"/>
        </w:trPr>
        <w:tc>
          <w:tcPr>
            <w:tcW w:w="32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合计</w:t>
            </w:r>
          </w:p>
        </w:tc>
        <w:tc>
          <w:tcPr>
            <w:tcW w:w="24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100</w:t>
            </w:r>
          </w:p>
        </w:tc>
        <w:tc>
          <w:tcPr>
            <w:tcW w:w="28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spacing w:line="360" w:lineRule="auto"/>
              <w:jc w:val="center"/>
              <w:textAlignment w:val="cente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pPr>
            <w:r>
              <w:rPr>
                <w:rFonts w:hint="default" w:ascii="Times New Roman Regular" w:hAnsi="Times New Roman Regular" w:eastAsia="宋体" w:cs="Times New Roman Regular"/>
                <w:b/>
                <w:bCs/>
                <w:i w:val="0"/>
                <w:iCs w:val="0"/>
                <w:color w:val="000000"/>
                <w:kern w:val="0"/>
                <w:sz w:val="22"/>
                <w:szCs w:val="22"/>
                <w:highlight w:val="none"/>
                <w:u w:val="none"/>
                <w:lang w:val="en-US" w:eastAsia="zh-CN" w:bidi="ar"/>
              </w:rPr>
              <w:t>94.</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7</w:t>
            </w:r>
            <w:r>
              <w:rPr>
                <w:rFonts w:hint="default" w:ascii="Times New Roman Regular" w:hAnsi="Times New Roman Regular" w:cs="Times New Roman Regular"/>
                <w:b/>
                <w:bCs/>
                <w:i w:val="0"/>
                <w:iCs w:val="0"/>
                <w:color w:val="000000"/>
                <w:kern w:val="0"/>
                <w:sz w:val="22"/>
                <w:szCs w:val="22"/>
                <w:highlight w:val="none"/>
                <w:u w:val="none"/>
                <w:lang w:val="en-US" w:eastAsia="zh-CN" w:bidi="ar"/>
              </w:rPr>
              <w:t>6</w:t>
            </w:r>
          </w:p>
        </w:tc>
      </w:tr>
    </w:tbl>
    <w:p>
      <w:pPr>
        <w:keepNext w:val="0"/>
        <w:keepLines w:val="0"/>
        <w:pageBreakBefore w:val="0"/>
        <w:widowControl w:val="0"/>
        <w:kinsoku/>
        <w:wordWrap/>
        <w:overflowPunct/>
        <w:topLinePunct w:val="0"/>
        <w:autoSpaceDE/>
        <w:autoSpaceDN/>
        <w:bidi w:val="0"/>
        <w:adjustRightInd/>
        <w:snapToGrid/>
        <w:spacing w:before="313" w:beforeLines="10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本次部门整体绩效评价通过资料分析、专家评审等方式开展了全面、系统、客观的分析评价，最终得分94.</w:t>
      </w:r>
      <w:r>
        <w:rPr>
          <w:rFonts w:hint="default" w:ascii="Times New Roman Regular" w:hAnsi="Times New Roman Regular" w:eastAsia="仿宋" w:cs="Times New Roman Regular"/>
          <w:color w:val="auto"/>
          <w:kern w:val="0"/>
          <w:sz w:val="32"/>
          <w:szCs w:val="32"/>
          <w:highlight w:val="none"/>
          <w:lang w:val="en-US" w:eastAsia="zh-CN"/>
        </w:rPr>
        <w:t>7</w:t>
      </w:r>
      <w:r>
        <w:rPr>
          <w:rFonts w:hint="default" w:ascii="Times New Roman Regular" w:hAnsi="Times New Roman Regular" w:eastAsia="仿宋" w:cs="Times New Roman Regular"/>
          <w:color w:val="auto"/>
          <w:kern w:val="0"/>
          <w:sz w:val="32"/>
          <w:szCs w:val="32"/>
          <w:highlight w:val="none"/>
          <w:lang w:val="en-US" w:eastAsia="zh-CN"/>
        </w:rPr>
        <w:t>6分。其中当年预算执行情况19.39分，整体绩效目标实现情况55.37分，预算管理情况</w:t>
      </w:r>
      <w:r>
        <w:rPr>
          <w:rFonts w:hint="default" w:ascii="Times New Roman Regular" w:hAnsi="Times New Roman Regular" w:eastAsia="仿宋" w:cs="Times New Roman Regular"/>
          <w:color w:val="auto"/>
          <w:kern w:val="0"/>
          <w:sz w:val="32"/>
          <w:szCs w:val="32"/>
          <w:highlight w:val="none"/>
          <w:lang w:val="en-US" w:eastAsia="zh-CN"/>
        </w:rPr>
        <w:t>20</w:t>
      </w:r>
      <w:r>
        <w:rPr>
          <w:rFonts w:hint="default" w:ascii="Times New Roman Regular" w:hAnsi="Times New Roman Regular" w:eastAsia="仿宋" w:cs="Times New Roman Regular"/>
          <w:color w:val="auto"/>
          <w:kern w:val="0"/>
          <w:sz w:val="32"/>
          <w:szCs w:val="32"/>
          <w:highlight w:val="none"/>
          <w:lang w:val="en-US" w:eastAsia="zh-CN"/>
        </w:rPr>
        <w:t>分，具体得分情况见《2023年北京市供销合作总社部门整体绩效评价指标体系评分表》。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1"/>
        <w:rPr>
          <w:rFonts w:hint="default" w:ascii="Times New Roman Regular" w:hAnsi="Times New Roman Regular" w:eastAsia="楷体_GB2312" w:cs="Times New Roman Regular"/>
          <w:sz w:val="32"/>
          <w:szCs w:val="32"/>
          <w:highlight w:val="none"/>
        </w:rPr>
      </w:pPr>
      <w:bookmarkStart w:id="30" w:name="_Toc17817"/>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lang w:val="en-US" w:eastAsia="zh-CN"/>
        </w:rPr>
        <w:t>二</w:t>
      </w:r>
      <w:r>
        <w:rPr>
          <w:rFonts w:hint="default" w:ascii="Times New Roman Regular" w:hAnsi="Times New Roman Regular" w:eastAsia="楷体_GB2312" w:cs="Times New Roman Regular"/>
          <w:sz w:val="32"/>
          <w:szCs w:val="32"/>
          <w:highlight w:val="none"/>
          <w:lang w:eastAsia="zh-CN"/>
        </w:rPr>
        <w:t>）</w:t>
      </w:r>
      <w:r>
        <w:rPr>
          <w:rFonts w:hint="default" w:ascii="Times New Roman Regular" w:hAnsi="Times New Roman Regular" w:eastAsia="楷体_GB2312" w:cs="Times New Roman Regular"/>
          <w:sz w:val="32"/>
          <w:szCs w:val="32"/>
          <w:highlight w:val="none"/>
        </w:rPr>
        <w:t>存在的问题及原因分析</w:t>
      </w:r>
      <w:bookmarkEnd w:id="30"/>
    </w:p>
    <w:p>
      <w:pPr>
        <w:keepNext w:val="0"/>
        <w:keepLines w:val="0"/>
        <w:pageBreakBefore w:val="0"/>
        <w:widowControl w:val="0"/>
        <w:kinsoku/>
        <w:wordWrap/>
        <w:overflowPunct/>
        <w:topLinePunct w:val="0"/>
        <w:autoSpaceDE/>
        <w:autoSpaceDN/>
        <w:bidi w:val="0"/>
        <w:adjustRightInd/>
        <w:snapToGrid/>
        <w:spacing w:before="63" w:beforeLines="20" w:after="63" w:afterLines="20" w:line="360" w:lineRule="auto"/>
        <w:ind w:firstLine="640" w:firstLineChars="200"/>
        <w:jc w:val="both"/>
        <w:textAlignment w:val="auto"/>
        <w:rPr>
          <w:rFonts w:hint="default" w:ascii="Times New Roman Regular" w:hAnsi="Times New Roman Regular" w:eastAsia="仿宋" w:cs="Times New Roman Regular"/>
          <w:color w:val="auto"/>
          <w:kern w:val="0"/>
          <w:sz w:val="32"/>
          <w:szCs w:val="32"/>
          <w:highlight w:val="none"/>
          <w:lang w:val="en-US" w:eastAsia="zh-CN"/>
        </w:rPr>
      </w:pPr>
      <w:bookmarkStart w:id="31" w:name="_Toc28930"/>
      <w:r>
        <w:rPr>
          <w:rFonts w:hint="default" w:ascii="Times New Roman Regular" w:hAnsi="Times New Roman Regular" w:eastAsia="仿宋" w:cs="Times New Roman Regular"/>
          <w:color w:val="auto"/>
          <w:kern w:val="0"/>
          <w:sz w:val="32"/>
          <w:szCs w:val="32"/>
          <w:highlight w:val="none"/>
          <w:lang w:val="en-US" w:eastAsia="zh-CN"/>
        </w:rPr>
        <w:t>1</w:t>
      </w:r>
      <w:r>
        <w:rPr>
          <w:rFonts w:hint="default" w:ascii="Times New Roman Regular" w:hAnsi="Times New Roman Regular" w:eastAsia="仿宋" w:cs="Times New Roman Regular"/>
          <w:color w:val="auto"/>
          <w:kern w:val="0"/>
          <w:sz w:val="32"/>
          <w:szCs w:val="32"/>
          <w:highlight w:val="none"/>
          <w:lang w:val="en-US" w:eastAsia="zh-CN"/>
        </w:rPr>
        <w:t>.绩效目标合理性有待提升。部分项目绩效指标的细化和量化程度不足，导致该指标可考核性不强，绩效目标合理性有待进一步提升。</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2</w:t>
      </w:r>
      <w:r>
        <w:rPr>
          <w:rFonts w:hint="default" w:ascii="Times New Roman Regular" w:hAnsi="Times New Roman Regular" w:eastAsia="仿宋" w:cs="Times New Roman Regular"/>
          <w:color w:val="auto"/>
          <w:kern w:val="0"/>
          <w:sz w:val="32"/>
          <w:szCs w:val="32"/>
          <w:highlight w:val="none"/>
          <w:lang w:val="en-US" w:eastAsia="zh-CN"/>
        </w:rPr>
        <w:t>.项目执行率有待提高。部分项目执行率偏低，与预期绩效实现情况差异较大。</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3</w:t>
      </w:r>
      <w:r>
        <w:rPr>
          <w:rFonts w:hint="default" w:ascii="Times New Roman Regular" w:hAnsi="Times New Roman Regular" w:eastAsia="仿宋" w:cs="Times New Roman Regular"/>
          <w:color w:val="auto"/>
          <w:kern w:val="0"/>
          <w:sz w:val="32"/>
          <w:szCs w:val="32"/>
          <w:highlight w:val="none"/>
          <w:lang w:val="en-US" w:eastAsia="zh-CN"/>
        </w:rPr>
        <w:t>.项目成果利用率偏低。部分项目建成后利用率偏低，项目建设成果未能充分实现。</w:t>
      </w:r>
    </w:p>
    <w:p>
      <w:pPr>
        <w:pStyle w:val="5"/>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Regular" w:hAnsi="Times New Roman Regular" w:cs="Times New Roman Regular"/>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4</w:t>
      </w:r>
      <w:r>
        <w:rPr>
          <w:rFonts w:hint="default" w:ascii="Times New Roman Regular" w:hAnsi="Times New Roman Regular" w:eastAsia="仿宋" w:cs="Times New Roman Regular"/>
          <w:color w:val="auto"/>
          <w:kern w:val="0"/>
          <w:sz w:val="32"/>
          <w:szCs w:val="32"/>
          <w:highlight w:val="none"/>
          <w:lang w:val="en-US" w:eastAsia="zh-CN"/>
        </w:rPr>
        <w:t>.项目效益实现情况支撑不够充分。部分项目效益指标的实现情况缺乏材料支撑，且满意度调查问卷设置的科学性与合理性有待完善。</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0"/>
        <w:rPr>
          <w:rFonts w:hint="default" w:ascii="Times New Roman Regular" w:hAnsi="Times New Roman Regular" w:eastAsia="仿宋_GB2312" w:cs="Times New Roman Regular"/>
          <w:color w:val="000000"/>
          <w:kern w:val="0"/>
          <w:sz w:val="32"/>
          <w:szCs w:val="32"/>
          <w:highlight w:val="none"/>
        </w:rPr>
      </w:pPr>
      <w:r>
        <w:rPr>
          <w:rFonts w:hint="default" w:ascii="Times New Roman Regular" w:hAnsi="Times New Roman Regular" w:eastAsia="黑体" w:cs="Times New Roman Regular"/>
          <w:color w:val="000000"/>
          <w:kern w:val="0"/>
          <w:sz w:val="32"/>
          <w:szCs w:val="32"/>
          <w:highlight w:val="none"/>
        </w:rPr>
        <w:t>六、措施建议</w:t>
      </w:r>
      <w:bookmarkEnd w:id="31"/>
    </w:p>
    <w:p>
      <w:pPr>
        <w:pStyle w:val="5"/>
        <w:keepNext w:val="0"/>
        <w:keepLines w:val="0"/>
        <w:pageBreakBefore w:val="0"/>
        <w:kinsoku/>
        <w:wordWrap/>
        <w:overflowPunct/>
        <w:topLinePunct w:val="0"/>
        <w:bidi w:val="0"/>
        <w:spacing w:line="360" w:lineRule="auto"/>
        <w:rPr>
          <w:rFonts w:hint="default" w:ascii="Times New Roman Regular" w:hAnsi="Times New Roman Regular" w:eastAsia="仿宋" w:cs="Times New Roman Regular"/>
          <w:color w:val="auto"/>
          <w:kern w:val="0"/>
          <w:sz w:val="32"/>
          <w:szCs w:val="32"/>
          <w:highlight w:val="none"/>
          <w:lang w:val="en-US" w:eastAsia="zh-CN"/>
        </w:rPr>
      </w:pPr>
      <w:bookmarkStart w:id="32" w:name="_Toc10034"/>
      <w:r>
        <w:rPr>
          <w:rFonts w:hint="default" w:ascii="Times New Roman Regular" w:hAnsi="Times New Roman Regular" w:eastAsia="仿宋" w:cs="Times New Roman Regular"/>
          <w:color w:val="auto"/>
          <w:kern w:val="0"/>
          <w:sz w:val="32"/>
          <w:szCs w:val="32"/>
          <w:highlight w:val="none"/>
          <w:lang w:val="en-US" w:eastAsia="zh-CN"/>
        </w:rPr>
        <w:t>1</w:t>
      </w:r>
      <w:r>
        <w:rPr>
          <w:rFonts w:hint="default" w:ascii="Times New Roman Regular" w:hAnsi="Times New Roman Regular" w:eastAsia="仿宋" w:cs="Times New Roman Regular"/>
          <w:color w:val="auto"/>
          <w:kern w:val="0"/>
          <w:sz w:val="32"/>
          <w:szCs w:val="32"/>
          <w:highlight w:val="none"/>
          <w:lang w:val="en-US" w:eastAsia="zh-CN"/>
        </w:rPr>
        <w:t>.合理设定绩效目标。组织开展绩效目标研究工作，细化、量化绩效目标，增强绩效指标可考核性。</w:t>
      </w:r>
    </w:p>
    <w:p>
      <w:pPr>
        <w:pStyle w:val="5"/>
        <w:keepNext w:val="0"/>
        <w:keepLines w:val="0"/>
        <w:pageBreakBefore w:val="0"/>
        <w:kinsoku/>
        <w:wordWrap/>
        <w:overflowPunct/>
        <w:topLinePunct w:val="0"/>
        <w:bidi w:val="0"/>
        <w:spacing w:line="360" w:lineRule="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2</w:t>
      </w:r>
      <w:r>
        <w:rPr>
          <w:rFonts w:hint="default" w:ascii="Times New Roman Regular" w:hAnsi="Times New Roman Regular" w:eastAsia="仿宋" w:cs="Times New Roman Regular"/>
          <w:color w:val="auto"/>
          <w:kern w:val="0"/>
          <w:sz w:val="32"/>
          <w:szCs w:val="32"/>
          <w:highlight w:val="none"/>
          <w:lang w:val="en-US" w:eastAsia="zh-CN"/>
        </w:rPr>
        <w:t>.加快项目执行进度。完善预算安排与支出进度挂钩机制，提高预算执行效率，对预算执行进度慢的项目相应压减下一年度预算安排。</w:t>
      </w:r>
    </w:p>
    <w:p>
      <w:pPr>
        <w:pStyle w:val="5"/>
        <w:keepNext w:val="0"/>
        <w:keepLines w:val="0"/>
        <w:pageBreakBefore w:val="0"/>
        <w:kinsoku/>
        <w:wordWrap/>
        <w:overflowPunct/>
        <w:topLinePunct w:val="0"/>
        <w:bidi w:val="0"/>
        <w:spacing w:line="360" w:lineRule="auto"/>
        <w:rPr>
          <w:rFonts w:hint="default" w:ascii="Times New Roman Regular" w:hAnsi="Times New Roman Regular" w:eastAsia="仿宋" w:cs="Times New Roman Regular"/>
          <w:color w:val="auto"/>
          <w:kern w:val="0"/>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3</w:t>
      </w:r>
      <w:r>
        <w:rPr>
          <w:rFonts w:hint="default" w:ascii="Times New Roman Regular" w:hAnsi="Times New Roman Regular" w:eastAsia="仿宋" w:cs="Times New Roman Regular"/>
          <w:color w:val="auto"/>
          <w:kern w:val="0"/>
          <w:sz w:val="32"/>
          <w:szCs w:val="32"/>
          <w:highlight w:val="none"/>
          <w:lang w:val="en-US" w:eastAsia="zh-CN"/>
        </w:rPr>
        <w:t>.盘活闲置项目资源。积极探索各种利用方式，充分发挥资源的潜在价值，实现项目成果的最大化利用。</w:t>
      </w:r>
    </w:p>
    <w:p>
      <w:pPr>
        <w:pStyle w:val="5"/>
        <w:keepNext w:val="0"/>
        <w:keepLines w:val="0"/>
        <w:pageBreakBefore w:val="0"/>
        <w:kinsoku/>
        <w:wordWrap/>
        <w:overflowPunct/>
        <w:topLinePunct w:val="0"/>
        <w:bidi w:val="0"/>
        <w:spacing w:line="360" w:lineRule="auto"/>
        <w:rPr>
          <w:rFonts w:hint="default" w:ascii="Times New Roman Regular" w:hAnsi="Times New Roman Regular" w:eastAsia="仿宋" w:cs="Times New Roman Regular"/>
          <w:sz w:val="32"/>
          <w:szCs w:val="32"/>
          <w:highlight w:val="none"/>
          <w:lang w:val="en-US" w:eastAsia="zh-CN"/>
        </w:rPr>
      </w:pPr>
      <w:r>
        <w:rPr>
          <w:rFonts w:hint="default" w:ascii="Times New Roman Regular" w:hAnsi="Times New Roman Regular" w:eastAsia="仿宋" w:cs="Times New Roman Regular"/>
          <w:color w:val="auto"/>
          <w:kern w:val="0"/>
          <w:sz w:val="32"/>
          <w:szCs w:val="32"/>
          <w:highlight w:val="none"/>
          <w:lang w:val="en-US" w:eastAsia="zh-CN"/>
        </w:rPr>
        <w:t>4</w:t>
      </w:r>
      <w:r>
        <w:rPr>
          <w:rFonts w:hint="default" w:ascii="Times New Roman Regular" w:hAnsi="Times New Roman Regular" w:eastAsia="仿宋" w:cs="Times New Roman Regular"/>
          <w:color w:val="auto"/>
          <w:kern w:val="0"/>
          <w:sz w:val="32"/>
          <w:szCs w:val="32"/>
          <w:highlight w:val="none"/>
          <w:lang w:val="en-US" w:eastAsia="zh-CN"/>
        </w:rPr>
        <w:t>.加强成果资料归集。项目单位应及时归集成果资料，加强绩效成果的追踪，同时进一步完善满意度调查内容与质量，提升绩效成果支撑依据的充分性。</w:t>
      </w:r>
    </w:p>
    <w:p>
      <w:pPr>
        <w:bidi w:val="0"/>
        <w:rPr>
          <w:rFonts w:hint="default" w:ascii="Times New Roman Regular" w:hAnsi="Times New Roman Regular" w:eastAsia="仿宋" w:cs="Times New Roman Regular"/>
          <w:sz w:val="32"/>
          <w:szCs w:val="32"/>
          <w:highlight w:val="none"/>
          <w:lang w:val="en-US" w:eastAsia="zh-CN"/>
        </w:rPr>
      </w:pPr>
    </w:p>
    <w:p>
      <w:pPr>
        <w:bidi w:val="0"/>
        <w:ind w:firstLine="640" w:firstLineChars="200"/>
        <w:rPr>
          <w:rFonts w:hint="default" w:ascii="Times New Roman Regular" w:hAnsi="Times New Roman Regular" w:eastAsia="仿宋" w:cs="Times New Roman Regular"/>
          <w:sz w:val="32"/>
          <w:szCs w:val="32"/>
          <w:highlight w:val="none"/>
          <w:lang w:val="en-US" w:eastAsia="zh-CN"/>
        </w:rPr>
      </w:pPr>
      <w:r>
        <w:rPr>
          <w:rFonts w:hint="default" w:ascii="Times New Roman Regular" w:hAnsi="Times New Roman Regular" w:eastAsia="仿宋" w:cs="Times New Roman Regular"/>
          <w:sz w:val="32"/>
          <w:szCs w:val="32"/>
          <w:highlight w:val="none"/>
          <w:lang w:val="en-US" w:eastAsia="zh-CN"/>
        </w:rPr>
        <w:t>附件1：2023年北京市供销合作总社部门整体绩效评价指标体系评分表</w:t>
      </w:r>
      <w:bookmarkEnd w:id="32"/>
    </w:p>
    <w:p>
      <w:pPr>
        <w:pStyle w:val="5"/>
        <w:keepNext w:val="0"/>
        <w:keepLines w:val="0"/>
        <w:pageBreakBefore w:val="0"/>
        <w:kinsoku/>
        <w:wordWrap/>
        <w:overflowPunct/>
        <w:topLinePunct w:val="0"/>
        <w:bidi w:val="0"/>
        <w:spacing w:line="360" w:lineRule="auto"/>
        <w:rPr>
          <w:rFonts w:hint="default" w:ascii="Times New Roman Regular" w:hAnsi="Times New Roman Regular" w:cs="Times New Roman Regular"/>
          <w:highlight w:val="none"/>
          <w:lang w:val="en-US"/>
        </w:rPr>
      </w:pPr>
      <w:r>
        <w:rPr>
          <w:rFonts w:hint="default" w:ascii="Times New Roman Regular" w:hAnsi="Times New Roman Regular" w:eastAsia="仿宋" w:cs="Times New Roman Regular"/>
          <w:color w:val="auto"/>
          <w:kern w:val="0"/>
          <w:sz w:val="32"/>
          <w:szCs w:val="32"/>
          <w:highlight w:val="none"/>
          <w:lang w:val="en-US" w:eastAsia="zh-CN"/>
        </w:rPr>
        <w:t>附件2：</w:t>
      </w:r>
      <w:r>
        <w:rPr>
          <w:rFonts w:hint="default" w:ascii="Times New Roman Regular" w:hAnsi="Times New Roman Regular" w:eastAsia="仿宋" w:cs="Times New Roman Regular"/>
          <w:sz w:val="32"/>
          <w:szCs w:val="32"/>
          <w:highlight w:val="none"/>
          <w:lang w:val="en-US" w:eastAsia="zh-CN"/>
        </w:rPr>
        <w:t>评分专家名单及资质证书</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Regular">
    <w:panose1 w:val="02020603050405020304"/>
    <w:charset w:val="00"/>
    <w:family w:val="auto"/>
    <w:pitch w:val="default"/>
    <w:sig w:usb0="E0002AEF" w:usb1="C0007841" w:usb2="00000009" w:usb3="00000000" w:csb0="400001FF" w:csb1="FFFF0000"/>
  </w:font>
  <w:font w:name="方正小标宋简体">
    <w:panose1 w:val="02000000000000000000"/>
    <w:charset w:val="86"/>
    <w:family w:val="auto"/>
    <w:pitch w:val="default"/>
    <w:sig w:usb0="00000001" w:usb1="08000000" w:usb2="0000000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汉仪楷体简"/>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JjNzQzOGQxNjVjOWUyNmIxMGVlZTNkOThhYzUzNTAifQ=="/>
  </w:docVars>
  <w:rsids>
    <w:rsidRoot w:val="F77F09F4"/>
    <w:rsid w:val="0004565B"/>
    <w:rsid w:val="0038262C"/>
    <w:rsid w:val="05187F68"/>
    <w:rsid w:val="057448C8"/>
    <w:rsid w:val="05B9052D"/>
    <w:rsid w:val="07C81A4E"/>
    <w:rsid w:val="08C80078"/>
    <w:rsid w:val="0D46376D"/>
    <w:rsid w:val="0F2033CB"/>
    <w:rsid w:val="13053004"/>
    <w:rsid w:val="175F53D8"/>
    <w:rsid w:val="19DB686C"/>
    <w:rsid w:val="1AD55B9C"/>
    <w:rsid w:val="1DF166F8"/>
    <w:rsid w:val="26213859"/>
    <w:rsid w:val="29092B36"/>
    <w:rsid w:val="2987256D"/>
    <w:rsid w:val="2F83493C"/>
    <w:rsid w:val="2FE853E7"/>
    <w:rsid w:val="31955AEA"/>
    <w:rsid w:val="34634174"/>
    <w:rsid w:val="34D7807B"/>
    <w:rsid w:val="35E80D59"/>
    <w:rsid w:val="37173543"/>
    <w:rsid w:val="3F2A1578"/>
    <w:rsid w:val="3FDBA076"/>
    <w:rsid w:val="3FDFB3F0"/>
    <w:rsid w:val="3FDFC9A6"/>
    <w:rsid w:val="3FF76880"/>
    <w:rsid w:val="430558E8"/>
    <w:rsid w:val="4672628D"/>
    <w:rsid w:val="49B20A45"/>
    <w:rsid w:val="4A445AD3"/>
    <w:rsid w:val="4DE12CE4"/>
    <w:rsid w:val="503E467C"/>
    <w:rsid w:val="53033362"/>
    <w:rsid w:val="551A373C"/>
    <w:rsid w:val="5697318E"/>
    <w:rsid w:val="569D5605"/>
    <w:rsid w:val="570566FB"/>
    <w:rsid w:val="59124AB2"/>
    <w:rsid w:val="5A6124FD"/>
    <w:rsid w:val="5BD14DFE"/>
    <w:rsid w:val="5BFD4AC2"/>
    <w:rsid w:val="643E0680"/>
    <w:rsid w:val="67759716"/>
    <w:rsid w:val="69785CFA"/>
    <w:rsid w:val="6BCE135A"/>
    <w:rsid w:val="6F7ED27B"/>
    <w:rsid w:val="7306762B"/>
    <w:rsid w:val="73B951B9"/>
    <w:rsid w:val="74BB4E58"/>
    <w:rsid w:val="74F75831"/>
    <w:rsid w:val="75B17A7C"/>
    <w:rsid w:val="79E84AA0"/>
    <w:rsid w:val="7A200069"/>
    <w:rsid w:val="7AB7FF50"/>
    <w:rsid w:val="7AEAF641"/>
    <w:rsid w:val="7B5B5717"/>
    <w:rsid w:val="7B8753C7"/>
    <w:rsid w:val="7BAD2729"/>
    <w:rsid w:val="7BFEB0DB"/>
    <w:rsid w:val="7D23684E"/>
    <w:rsid w:val="7EBDA91C"/>
    <w:rsid w:val="7EDE5F24"/>
    <w:rsid w:val="7F7E971A"/>
    <w:rsid w:val="7FFF4E81"/>
    <w:rsid w:val="7FFFD0D3"/>
    <w:rsid w:val="8716660E"/>
    <w:rsid w:val="97BD98FF"/>
    <w:rsid w:val="9FFBC594"/>
    <w:rsid w:val="A3AA735E"/>
    <w:rsid w:val="A75D4892"/>
    <w:rsid w:val="AFFFCE02"/>
    <w:rsid w:val="AFFFEE6E"/>
    <w:rsid w:val="B97F46AB"/>
    <w:rsid w:val="CEFD3F3D"/>
    <w:rsid w:val="D6B22E60"/>
    <w:rsid w:val="D7E0833E"/>
    <w:rsid w:val="DD51D5E5"/>
    <w:rsid w:val="EA3F77F2"/>
    <w:rsid w:val="EEFE5989"/>
    <w:rsid w:val="EFCF3EAE"/>
    <w:rsid w:val="F4FDEB06"/>
    <w:rsid w:val="F5B764A2"/>
    <w:rsid w:val="F77F09F4"/>
    <w:rsid w:val="FAFCF579"/>
    <w:rsid w:val="FBFF6E65"/>
    <w:rsid w:val="FEEF6AA0"/>
    <w:rsid w:val="FF6E87D1"/>
    <w:rsid w:val="FF7A0547"/>
    <w:rsid w:val="FFB792B8"/>
    <w:rsid w:val="FFD7BFFC"/>
    <w:rsid w:val="FFFA6B0F"/>
    <w:rsid w:val="FFFFB6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9"/>
    <w:pPr>
      <w:spacing w:line="600" w:lineRule="exact"/>
      <w:ind w:firstLine="640"/>
      <w:outlineLvl w:val="0"/>
    </w:pPr>
    <w:rPr>
      <w:rFonts w:ascii="黑体" w:hAnsi="黑体" w:eastAsia="黑体" w:cs="宋体"/>
      <w:color w:val="000000"/>
      <w:kern w:val="0"/>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customStyle="1" w:styleId="2">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styleId="5">
    <w:name w:val="Normal Indent"/>
    <w:basedOn w:val="1"/>
    <w:next w:val="1"/>
    <w:autoRedefine/>
    <w:qFormat/>
    <w:uiPriority w:val="0"/>
    <w:pPr>
      <w:ind w:firstLine="200" w:firstLineChars="200"/>
    </w:pPr>
  </w:style>
  <w:style w:type="paragraph" w:styleId="6">
    <w:name w:val="annotation text"/>
    <w:basedOn w:val="1"/>
    <w:autoRedefine/>
    <w:qFormat/>
    <w:uiPriority w:val="0"/>
    <w:pPr>
      <w:jc w:val="left"/>
    </w:pPr>
  </w:style>
  <w:style w:type="paragraph" w:styleId="7">
    <w:name w:val="toc 3"/>
    <w:basedOn w:val="1"/>
    <w:next w:val="1"/>
    <w:autoRedefine/>
    <w:qFormat/>
    <w:uiPriority w:val="0"/>
    <w:pPr>
      <w:ind w:left="840" w:leftChars="400"/>
    </w:pPr>
  </w:style>
  <w:style w:type="paragraph" w:styleId="8">
    <w:name w:val="footer"/>
    <w:basedOn w:val="1"/>
    <w:autoRedefine/>
    <w:qFormat/>
    <w:uiPriority w:val="99"/>
    <w:pPr>
      <w:tabs>
        <w:tab w:val="center" w:pos="4153"/>
        <w:tab w:val="right" w:pos="8306"/>
      </w:tabs>
      <w:snapToGrid w:val="0"/>
      <w:jc w:val="left"/>
    </w:pPr>
    <w:rPr>
      <w:sz w:val="18"/>
      <w:szCs w:val="20"/>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autoRedefine/>
    <w:qFormat/>
    <w:uiPriority w:val="0"/>
  </w:style>
  <w:style w:type="paragraph" w:styleId="11">
    <w:name w:val="toc 2"/>
    <w:basedOn w:val="1"/>
    <w:next w:val="1"/>
    <w:autoRedefine/>
    <w:qFormat/>
    <w:uiPriority w:val="0"/>
    <w:pPr>
      <w:ind w:left="420" w:leftChars="200"/>
    </w:pPr>
  </w:style>
  <w:style w:type="paragraph" w:customStyle="1" w:styleId="14">
    <w:name w:val="列出段落1"/>
    <w:basedOn w:val="1"/>
    <w:autoRedefine/>
    <w:qFormat/>
    <w:uiPriority w:val="34"/>
    <w:pPr>
      <w:ind w:firstLine="420" w:firstLineChars="200"/>
    </w:pPr>
    <w:rPr>
      <w:rFonts w:ascii="Calibri" w:hAnsi="Calibri" w:cs="黑体"/>
      <w:szCs w:val="22"/>
    </w:rPr>
  </w:style>
  <w:style w:type="paragraph" w:customStyle="1" w:styleId="15">
    <w:name w:val="WPSOffice手动目录 1"/>
    <w:autoRedefine/>
    <w:qFormat/>
    <w:uiPriority w:val="0"/>
    <w:pPr>
      <w:ind w:leftChars="0"/>
    </w:pPr>
    <w:rPr>
      <w:rFonts w:ascii="Times New Roman" w:hAnsi="Times New Roman" w:eastAsia="宋体" w:cs="Times New Roman"/>
      <w:sz w:val="20"/>
      <w:szCs w:val="20"/>
    </w:rPr>
  </w:style>
  <w:style w:type="paragraph" w:customStyle="1" w:styleId="16">
    <w:name w:val="WPSOffice手动目录 2"/>
    <w:autoRedefine/>
    <w:qFormat/>
    <w:uiPriority w:val="0"/>
    <w:pPr>
      <w:ind w:leftChars="200"/>
    </w:pPr>
    <w:rPr>
      <w:rFonts w:ascii="Times New Roman" w:hAnsi="Times New Roman" w:eastAsia="宋体" w:cs="Times New Roman"/>
      <w:sz w:val="20"/>
      <w:szCs w:val="20"/>
    </w:rPr>
  </w:style>
  <w:style w:type="paragraph" w:customStyle="1" w:styleId="17">
    <w:name w:val="WPSOffice手动目录 3"/>
    <w:autoRedefine/>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1</TotalTime>
  <ScaleCrop>false</ScaleCrop>
  <LinksUpToDate>false</LinksUpToDate>
  <CharactersWithSpaces>0</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2022-03-18T03:16:00Z</dcterms:created>
  <dc:creator>user</dc:creator>
  <cp:lastModifiedBy>李文学</cp:lastModifiedBy>
  <cp:lastPrinted>2023-03-09T09:31:00Z</cp:lastPrinted>
  <dcterms:modified xsi:type="dcterms:W3CDTF">2024-05-16T11:41:55Z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3A8EEBC2DE58433C8380024DB2510F4E_13</vt:lpwstr>
  </property>
</Properties>
</file>